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lang w:eastAsia="zh-CN"/>
        </w:rPr>
        <w:t>人民医院</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lang w:eastAsia="zh-CN"/>
        </w:rPr>
        <w:t>人民医院</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廊坊市人民医院</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针对不同类型的疾病提供预防、检查、诊断、治疗和康复等各类医疗服务，健全我市医疗机构和医疗服务全行业管理制度，开展医学专科建设和医疗惠民工程等各类医疗服务工作；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承担援疆、对口支援县级医院等工作；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与河北北方学院、河北大学教学医院联合教学，培训住院规培医师、骨干医师、全科医生等工作。</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p>
    <w:p>
      <w:pPr>
        <w:spacing w:line="584" w:lineRule="exact"/>
        <w:jc w:val="center"/>
        <w:outlineLvl w:val="0"/>
        <w:rPr>
          <w:rFonts w:ascii="Times New Roman" w:hAnsi="Times New Roman" w:eastAsia="仿宋_GB2312" w:cs="Times New Roman"/>
          <w:b/>
          <w:sz w:val="32"/>
          <w:szCs w:val="24"/>
        </w:rPr>
      </w:pPr>
    </w:p>
    <w:p>
      <w:pPr>
        <w:spacing w:line="584" w:lineRule="exact"/>
        <w:jc w:val="center"/>
        <w:outlineLvl w:val="0"/>
        <w:rPr>
          <w:rFonts w:ascii="Times New Roman" w:hAnsi="Times New Roman" w:eastAsia="仿宋_GB2312" w:cs="Times New Roman"/>
          <w:b/>
          <w:sz w:val="32"/>
          <w:szCs w:val="24"/>
        </w:rPr>
      </w:pPr>
      <w:bookmarkStart w:id="3" w:name="_GoBack"/>
      <w:bookmarkEnd w:id="3"/>
      <w:r>
        <w:rPr>
          <w:rFonts w:ascii="Times New Roman" w:hAnsi="Times New Roman" w:eastAsia="仿宋_GB2312" w:cs="Times New Roman"/>
          <w:b/>
          <w:sz w:val="32"/>
          <w:szCs w:val="24"/>
        </w:rPr>
        <w:t>部门机构设置情况</w:t>
      </w:r>
    </w:p>
    <w:tbl>
      <w:tblPr>
        <w:tblStyle w:val="8"/>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color w:val="000000" w:themeColor="text1"/>
                <w:szCs w:val="24"/>
              </w:rPr>
            </w:pPr>
            <w:r>
              <w:rPr>
                <w:rFonts w:ascii="Times New Roman" w:hAnsi="Times New Roman" w:eastAsia="仿宋_GB2312" w:cs="Times New Roman"/>
                <w:b/>
                <w:color w:val="000000" w:themeColor="text1"/>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color w:val="000000" w:themeColor="text1"/>
                <w:szCs w:val="24"/>
              </w:rPr>
            </w:pPr>
            <w:r>
              <w:rPr>
                <w:rFonts w:ascii="Times New Roman" w:hAnsi="Times New Roman" w:eastAsia="仿宋_GB2312" w:cs="Times New Roman"/>
                <w:b/>
                <w:color w:val="000000" w:themeColor="text1"/>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color w:val="000000" w:themeColor="text1"/>
                <w:szCs w:val="24"/>
              </w:rPr>
            </w:pPr>
            <w:r>
              <w:rPr>
                <w:rFonts w:ascii="Times New Roman" w:hAnsi="Times New Roman" w:eastAsia="仿宋_GB2312" w:cs="Times New Roman"/>
                <w:b/>
                <w:color w:val="000000" w:themeColor="text1"/>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color w:val="000000" w:themeColor="text1"/>
                <w:szCs w:val="24"/>
              </w:rPr>
            </w:pPr>
            <w:r>
              <w:rPr>
                <w:rFonts w:ascii="Times New Roman" w:hAnsi="Times New Roman" w:eastAsia="仿宋_GB2312" w:cs="Times New Roman"/>
                <w:b/>
                <w:color w:val="000000" w:themeColor="text1"/>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color w:val="000000" w:themeColor="text1"/>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color w:val="000000" w:themeColor="text1"/>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color w:val="000000" w:themeColor="text1"/>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color w:val="000000" w:themeColor="text1"/>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color w:val="000000" w:themeColor="text1"/>
              </w:rPr>
            </w:pPr>
            <w:r>
              <w:rPr>
                <w:rFonts w:hint="eastAsia" w:ascii="Times New Roman" w:hAnsi="Times New Roman" w:eastAsia="仿宋_GB2312" w:cs="Times New Roman"/>
                <w:b/>
                <w:color w:val="000000" w:themeColor="text1"/>
              </w:rPr>
              <w:t>廊坊市人民医院</w:t>
            </w:r>
          </w:p>
        </w:tc>
        <w:tc>
          <w:tcPr>
            <w:tcW w:w="1134" w:type="dxa"/>
            <w:shd w:val="clear" w:color="auto" w:fill="auto"/>
            <w:vAlign w:val="center"/>
          </w:tcPr>
          <w:p>
            <w:pPr>
              <w:spacing w:line="584" w:lineRule="exact"/>
              <w:jc w:val="center"/>
              <w:rPr>
                <w:rFonts w:ascii="Times New Roman" w:hAnsi="Times New Roman" w:eastAsia="仿宋_GB2312" w:cs="Times New Roman"/>
                <w:b/>
                <w:color w:val="000000" w:themeColor="text1"/>
              </w:rPr>
            </w:pPr>
            <w:r>
              <w:rPr>
                <w:rFonts w:hint="eastAsia" w:ascii="Times New Roman" w:hAnsi="Times New Roman" w:eastAsia="仿宋_GB2312" w:cs="Times New Roman"/>
                <w:b/>
                <w:color w:val="000000" w:themeColor="text1"/>
              </w:rPr>
              <w:t>事业单位</w:t>
            </w:r>
          </w:p>
        </w:tc>
        <w:tc>
          <w:tcPr>
            <w:tcW w:w="1276" w:type="dxa"/>
            <w:shd w:val="clear" w:color="auto" w:fill="auto"/>
            <w:vAlign w:val="center"/>
          </w:tcPr>
          <w:p>
            <w:pPr>
              <w:spacing w:line="584" w:lineRule="exact"/>
              <w:jc w:val="center"/>
              <w:rPr>
                <w:rFonts w:ascii="Times New Roman" w:hAnsi="Times New Roman" w:eastAsia="仿宋_GB2312" w:cs="Times New Roman"/>
                <w:b/>
                <w:color w:val="000000" w:themeColor="text1"/>
              </w:rPr>
            </w:pPr>
            <w:r>
              <w:rPr>
                <w:rFonts w:hint="eastAsia" w:ascii="Times New Roman" w:hAnsi="Times New Roman" w:eastAsia="仿宋_GB2312" w:cs="Times New Roman"/>
                <w:b/>
                <w:color w:val="000000" w:themeColor="text1"/>
              </w:rPr>
              <w:t>正处级</w:t>
            </w:r>
          </w:p>
        </w:tc>
        <w:tc>
          <w:tcPr>
            <w:tcW w:w="2902" w:type="dxa"/>
            <w:shd w:val="clear" w:color="auto" w:fill="auto"/>
            <w:vAlign w:val="center"/>
          </w:tcPr>
          <w:p>
            <w:pPr>
              <w:spacing w:line="584" w:lineRule="exact"/>
              <w:jc w:val="center"/>
              <w:rPr>
                <w:rFonts w:ascii="Times New Roman" w:hAnsi="Times New Roman" w:eastAsia="仿宋_GB2312" w:cs="Times New Roman"/>
                <w:b/>
                <w:color w:val="000000" w:themeColor="text1"/>
              </w:rPr>
            </w:pPr>
            <w:r>
              <w:rPr>
                <w:rFonts w:hint="eastAsia" w:ascii="Times New Roman" w:hAnsi="Times New Roman" w:eastAsia="仿宋_GB2312" w:cs="Times New Roman"/>
                <w:b/>
                <w:color w:val="000000" w:themeColor="text1"/>
              </w:rPr>
              <w:t>财政性资金定额或定向补助（差额事业）</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按照预算管理有关规定，目前我市部门预算的编制实行综合预算制度，即全部收入和支出都反映在预算中。廊坊市</w:t>
      </w:r>
      <w:r>
        <w:rPr>
          <w:rFonts w:hint="eastAsia" w:ascii="Times New Roman" w:hAnsi="Times New Roman" w:eastAsia="仿宋_GB2312" w:cs="Times New Roman"/>
          <w:sz w:val="32"/>
          <w:szCs w:val="32"/>
          <w:lang w:eastAsia="zh-CN"/>
        </w:rPr>
        <w:t>人民医院</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color w:val="auto"/>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color w:val="auto"/>
          <w:sz w:val="32"/>
          <w:szCs w:val="32"/>
        </w:rPr>
        <w:t>1</w:t>
      </w:r>
      <w:r>
        <w:rPr>
          <w:rFonts w:ascii="Times New Roman" w:hAnsi="Times New Roman" w:eastAsia="仿宋_GB2312" w:cs="Times New Roman"/>
          <w:color w:val="auto"/>
          <w:sz w:val="32"/>
          <w:szCs w:val="32"/>
        </w:rPr>
        <w:t>年预算收入</w:t>
      </w:r>
      <w:r>
        <w:rPr>
          <w:rFonts w:hint="eastAsia" w:ascii="Times New Roman" w:hAnsi="Times New Roman" w:eastAsia="仿宋_GB2312" w:cs="Times New Roman"/>
          <w:color w:val="auto"/>
          <w:sz w:val="32"/>
          <w:szCs w:val="32"/>
          <w:lang w:val="en-US" w:eastAsia="zh-CN"/>
        </w:rPr>
        <w:t>99181.4</w:t>
      </w:r>
      <w:r>
        <w:rPr>
          <w:rFonts w:ascii="Times New Roman" w:hAnsi="Times New Roman" w:eastAsia="仿宋_GB2312" w:cs="Times New Roman"/>
          <w:color w:val="auto"/>
          <w:sz w:val="32"/>
          <w:szCs w:val="32"/>
        </w:rPr>
        <w:t>万元，其中：一般公共预算收入</w:t>
      </w:r>
      <w:r>
        <w:rPr>
          <w:rFonts w:hint="eastAsia" w:ascii="Times New Roman" w:hAnsi="Times New Roman" w:eastAsia="仿宋_GB2312" w:cs="Times New Roman"/>
          <w:color w:val="auto"/>
          <w:sz w:val="32"/>
          <w:szCs w:val="32"/>
          <w:lang w:val="en-US" w:eastAsia="zh-CN"/>
        </w:rPr>
        <w:t>7776.97</w:t>
      </w:r>
      <w:r>
        <w:rPr>
          <w:rFonts w:ascii="Times New Roman" w:hAnsi="Times New Roman" w:eastAsia="仿宋_GB2312" w:cs="Times New Roman"/>
          <w:color w:val="auto"/>
          <w:sz w:val="32"/>
          <w:szCs w:val="32"/>
        </w:rPr>
        <w:t>万元，基金预算收入</w:t>
      </w:r>
      <w:r>
        <w:rPr>
          <w:rFonts w:hint="eastAsia" w:ascii="Times New Roman" w:hAnsi="Times New Roman" w:eastAsia="仿宋_GB2312" w:cs="Times New Roman"/>
          <w:color w:val="auto"/>
          <w:sz w:val="32"/>
          <w:szCs w:val="32"/>
          <w:lang w:val="en-US" w:eastAsia="zh-CN"/>
        </w:rPr>
        <w:t>0</w:t>
      </w:r>
      <w:r>
        <w:rPr>
          <w:rFonts w:ascii="Times New Roman" w:hAnsi="Times New Roman" w:eastAsia="仿宋_GB2312" w:cs="Times New Roman"/>
          <w:color w:val="auto"/>
          <w:sz w:val="32"/>
          <w:szCs w:val="32"/>
        </w:rPr>
        <w:t>万元，财政专户核拨收入</w:t>
      </w:r>
      <w:r>
        <w:rPr>
          <w:rFonts w:hint="eastAsia" w:ascii="Times New Roman" w:hAnsi="Times New Roman" w:eastAsia="仿宋_GB2312" w:cs="Times New Roman"/>
          <w:color w:val="auto"/>
          <w:sz w:val="32"/>
          <w:szCs w:val="32"/>
          <w:lang w:val="en-US" w:eastAsia="zh-CN"/>
        </w:rPr>
        <w:t>0</w:t>
      </w:r>
      <w:r>
        <w:rPr>
          <w:rFonts w:ascii="Times New Roman" w:hAnsi="Times New Roman" w:eastAsia="仿宋_GB2312" w:cs="Times New Roman"/>
          <w:color w:val="auto"/>
          <w:sz w:val="32"/>
          <w:szCs w:val="32"/>
        </w:rPr>
        <w:t>万元，其他来源收入</w:t>
      </w:r>
      <w:r>
        <w:rPr>
          <w:rFonts w:hint="eastAsia" w:ascii="Times New Roman" w:hAnsi="Times New Roman" w:eastAsia="仿宋_GB2312" w:cs="Times New Roman"/>
          <w:color w:val="auto"/>
          <w:sz w:val="32"/>
          <w:szCs w:val="32"/>
          <w:lang w:val="en-US" w:eastAsia="zh-CN"/>
        </w:rPr>
        <w:t>90300</w:t>
      </w:r>
      <w:r>
        <w:rPr>
          <w:rFonts w:ascii="Times New Roman" w:hAnsi="Times New Roman" w:eastAsia="仿宋_GB2312" w:cs="Times New Roman"/>
          <w:color w:val="auto"/>
          <w:sz w:val="32"/>
          <w:szCs w:val="32"/>
        </w:rPr>
        <w:t>万元</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上年结转</w:t>
      </w:r>
      <w:r>
        <w:rPr>
          <w:rFonts w:hint="eastAsia" w:ascii="Times New Roman" w:hAnsi="Times New Roman" w:eastAsia="仿宋_GB2312" w:cs="Times New Roman"/>
          <w:color w:val="auto"/>
          <w:sz w:val="32"/>
          <w:szCs w:val="32"/>
          <w:lang w:val="en-US" w:eastAsia="zh-CN"/>
        </w:rPr>
        <w:t>1104.43</w:t>
      </w:r>
      <w:r>
        <w:rPr>
          <w:rFonts w:hint="eastAsia" w:ascii="Times New Roman" w:hAnsi="Times New Roman" w:eastAsia="仿宋_GB2312" w:cs="Times New Roman"/>
          <w:color w:val="auto"/>
          <w:sz w:val="32"/>
          <w:szCs w:val="32"/>
        </w:rPr>
        <w:t>万元</w:t>
      </w:r>
      <w:r>
        <w:rPr>
          <w:rFonts w:ascii="Times New Roman" w:hAnsi="Times New Roman" w:eastAsia="仿宋_GB2312" w:cs="Times New Roman"/>
          <w:color w:val="auto"/>
          <w:sz w:val="32"/>
          <w:szCs w:val="32"/>
        </w:rPr>
        <w:t>。</w:t>
      </w:r>
    </w:p>
    <w:p>
      <w:pPr>
        <w:spacing w:line="584" w:lineRule="exact"/>
        <w:ind w:firstLine="640"/>
        <w:rPr>
          <w:rFonts w:ascii="Times New Roman" w:hAnsi="Times New Roman" w:eastAsia="仿宋_GB2312" w:cs="Times New Roman"/>
          <w:b/>
          <w:color w:val="auto"/>
          <w:sz w:val="32"/>
          <w:szCs w:val="32"/>
        </w:rPr>
      </w:pPr>
      <w:r>
        <w:rPr>
          <w:rFonts w:ascii="Times New Roman" w:hAnsi="Times New Roman" w:eastAsia="仿宋_GB2312" w:cs="Times New Roman"/>
          <w:b/>
          <w:color w:val="auto"/>
          <w:sz w:val="32"/>
          <w:szCs w:val="32"/>
        </w:rPr>
        <w:t>2、支出说明</w:t>
      </w:r>
    </w:p>
    <w:p>
      <w:pPr>
        <w:spacing w:line="584" w:lineRule="exact"/>
        <w:ind w:firstLine="64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收支预算总表支出栏、基本支出表、项目支出表按经济分类和支出功能分类科目编制，反映廊坊市</w:t>
      </w:r>
      <w:r>
        <w:rPr>
          <w:rFonts w:hint="eastAsia" w:ascii="Times New Roman" w:hAnsi="Times New Roman" w:eastAsia="仿宋_GB2312" w:cs="Times New Roman"/>
          <w:color w:val="auto"/>
          <w:sz w:val="32"/>
          <w:szCs w:val="32"/>
          <w:lang w:eastAsia="zh-CN"/>
        </w:rPr>
        <w:t>人民医院</w:t>
      </w:r>
      <w:r>
        <w:rPr>
          <w:rFonts w:ascii="Times New Roman" w:hAnsi="Times New Roman" w:eastAsia="仿宋_GB2312" w:cs="Times New Roman"/>
          <w:color w:val="auto"/>
          <w:sz w:val="32"/>
          <w:szCs w:val="32"/>
        </w:rPr>
        <w:t>年度部门预算中支出预算的总体情况。20</w:t>
      </w:r>
      <w:r>
        <w:rPr>
          <w:rFonts w:hint="eastAsia" w:ascii="Times New Roman" w:hAnsi="Times New Roman" w:eastAsia="仿宋_GB2312" w:cs="Times New Roman"/>
          <w:color w:val="auto"/>
          <w:sz w:val="32"/>
          <w:szCs w:val="32"/>
        </w:rPr>
        <w:t>21</w:t>
      </w:r>
      <w:r>
        <w:rPr>
          <w:rFonts w:ascii="Times New Roman" w:hAnsi="Times New Roman" w:eastAsia="仿宋_GB2312" w:cs="Times New Roman"/>
          <w:color w:val="auto"/>
          <w:sz w:val="32"/>
          <w:szCs w:val="32"/>
        </w:rPr>
        <w:t>年支出预算</w:t>
      </w:r>
      <w:r>
        <w:rPr>
          <w:rFonts w:hint="eastAsia" w:ascii="Times New Roman" w:hAnsi="Times New Roman" w:eastAsia="仿宋_GB2312" w:cs="Times New Roman"/>
          <w:color w:val="auto"/>
          <w:sz w:val="32"/>
          <w:szCs w:val="32"/>
          <w:lang w:val="en-US" w:eastAsia="zh-CN"/>
        </w:rPr>
        <w:t>99181.4</w:t>
      </w:r>
      <w:r>
        <w:rPr>
          <w:rFonts w:ascii="Times New Roman" w:hAnsi="Times New Roman" w:eastAsia="仿宋_GB2312" w:cs="Times New Roman"/>
          <w:color w:val="auto"/>
          <w:sz w:val="32"/>
          <w:szCs w:val="32"/>
        </w:rPr>
        <w:t>万元，其中基本支出</w:t>
      </w:r>
      <w:r>
        <w:rPr>
          <w:rFonts w:hint="eastAsia" w:ascii="Times New Roman" w:hAnsi="Times New Roman" w:eastAsia="仿宋_GB2312" w:cs="Times New Roman"/>
          <w:color w:val="auto"/>
          <w:sz w:val="32"/>
          <w:szCs w:val="32"/>
          <w:lang w:val="en-US" w:eastAsia="zh-CN"/>
        </w:rPr>
        <w:t>6761.97</w:t>
      </w:r>
      <w:r>
        <w:rPr>
          <w:rFonts w:ascii="Times New Roman" w:hAnsi="Times New Roman" w:eastAsia="仿宋_GB2312" w:cs="Times New Roman"/>
          <w:color w:val="auto"/>
          <w:sz w:val="32"/>
          <w:szCs w:val="32"/>
        </w:rPr>
        <w:t>万元，包括人员类项目经费</w:t>
      </w:r>
      <w:r>
        <w:rPr>
          <w:rFonts w:hint="eastAsia" w:ascii="Times New Roman" w:hAnsi="Times New Roman" w:eastAsia="仿宋_GB2312" w:cs="Times New Roman"/>
          <w:color w:val="auto"/>
          <w:sz w:val="32"/>
          <w:szCs w:val="32"/>
          <w:lang w:val="en-US" w:eastAsia="zh-CN"/>
        </w:rPr>
        <w:t>6761.97</w:t>
      </w:r>
      <w:r>
        <w:rPr>
          <w:rFonts w:ascii="Times New Roman" w:hAnsi="Times New Roman" w:eastAsia="仿宋_GB2312" w:cs="Times New Roman"/>
          <w:color w:val="auto"/>
          <w:sz w:val="32"/>
          <w:szCs w:val="32"/>
        </w:rPr>
        <w:t>万元和</w:t>
      </w:r>
      <w:r>
        <w:rPr>
          <w:rFonts w:hint="eastAsia" w:ascii="Times New Roman" w:hAnsi="Times New Roman" w:eastAsia="仿宋_GB2312" w:cs="Times New Roman"/>
          <w:color w:val="auto"/>
          <w:sz w:val="32"/>
          <w:szCs w:val="32"/>
        </w:rPr>
        <w:t>运转类</w:t>
      </w:r>
      <w:r>
        <w:rPr>
          <w:rFonts w:ascii="Times New Roman" w:hAnsi="Times New Roman" w:eastAsia="仿宋_GB2312" w:cs="Times New Roman"/>
          <w:color w:val="auto"/>
          <w:sz w:val="32"/>
          <w:szCs w:val="32"/>
        </w:rPr>
        <w:t>公用项目经费</w:t>
      </w:r>
      <w:r>
        <w:rPr>
          <w:rFonts w:hint="eastAsia" w:ascii="Times New Roman" w:hAnsi="Times New Roman" w:eastAsia="仿宋_GB2312" w:cs="Times New Roman"/>
          <w:color w:val="auto"/>
          <w:sz w:val="32"/>
          <w:szCs w:val="32"/>
          <w:lang w:val="en-US" w:eastAsia="zh-CN"/>
        </w:rPr>
        <w:t>0</w:t>
      </w:r>
      <w:r>
        <w:rPr>
          <w:rFonts w:ascii="Times New Roman" w:hAnsi="Times New Roman" w:eastAsia="仿宋_GB2312" w:cs="Times New Roman"/>
          <w:color w:val="auto"/>
          <w:sz w:val="32"/>
          <w:szCs w:val="32"/>
        </w:rPr>
        <w:t>万元；运转类其他及特定目标类项目支出</w:t>
      </w:r>
      <w:r>
        <w:rPr>
          <w:rFonts w:hint="eastAsia" w:ascii="Times New Roman" w:hAnsi="Times New Roman" w:eastAsia="仿宋_GB2312" w:cs="Times New Roman"/>
          <w:color w:val="auto"/>
          <w:sz w:val="32"/>
          <w:szCs w:val="32"/>
          <w:lang w:val="en-US" w:eastAsia="zh-CN"/>
        </w:rPr>
        <w:t>92419.43</w:t>
      </w:r>
      <w:r>
        <w:rPr>
          <w:rFonts w:ascii="Times New Roman" w:hAnsi="Times New Roman" w:eastAsia="仿宋_GB2312" w:cs="Times New Roman"/>
          <w:color w:val="auto"/>
          <w:sz w:val="32"/>
          <w:szCs w:val="32"/>
        </w:rPr>
        <w:t>万元，</w:t>
      </w:r>
      <w:r>
        <w:rPr>
          <w:rFonts w:hint="eastAsia" w:ascii="Times New Roman" w:hAnsi="Times New Roman" w:eastAsia="仿宋_GB2312" w:cs="Times New Roman"/>
          <w:color w:val="auto"/>
          <w:sz w:val="32"/>
          <w:szCs w:val="32"/>
          <w:lang w:eastAsia="zh-CN"/>
        </w:rPr>
        <w:t>为</w:t>
      </w:r>
      <w:r>
        <w:rPr>
          <w:rFonts w:ascii="Times New Roman" w:hAnsi="Times New Roman" w:eastAsia="仿宋_GB2312" w:cs="Times New Roman"/>
          <w:color w:val="auto"/>
          <w:sz w:val="32"/>
          <w:szCs w:val="32"/>
        </w:rPr>
        <w:t>本级支出</w:t>
      </w:r>
      <w:r>
        <w:rPr>
          <w:rFonts w:hint="eastAsia" w:ascii="Times New Roman" w:hAnsi="Times New Roman" w:eastAsia="仿宋_GB2312" w:cs="Times New Roman"/>
          <w:color w:val="auto"/>
          <w:sz w:val="32"/>
          <w:szCs w:val="32"/>
          <w:lang w:val="en-US" w:eastAsia="zh-CN"/>
        </w:rPr>
        <w:t>92419.43万元</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具体</w:t>
      </w:r>
      <w:r>
        <w:rPr>
          <w:rFonts w:ascii="Times New Roman" w:hAnsi="Times New Roman" w:eastAsia="仿宋_GB2312" w:cs="Times New Roman"/>
          <w:color w:val="auto"/>
          <w:sz w:val="32"/>
          <w:szCs w:val="32"/>
        </w:rPr>
        <w:t>为</w:t>
      </w:r>
      <w:r>
        <w:rPr>
          <w:rFonts w:hint="eastAsia" w:ascii="Times New Roman" w:hAnsi="Times New Roman" w:eastAsia="仿宋_GB2312" w:cs="Times New Roman"/>
          <w:color w:val="auto"/>
          <w:sz w:val="32"/>
          <w:szCs w:val="32"/>
          <w:lang w:eastAsia="zh-CN"/>
        </w:rPr>
        <w:t>心血管内科重点学科建设资金</w:t>
      </w:r>
      <w:r>
        <w:rPr>
          <w:rFonts w:hint="eastAsia" w:ascii="Times New Roman" w:hAnsi="Times New Roman" w:eastAsia="仿宋_GB2312" w:cs="Times New Roman"/>
          <w:color w:val="auto"/>
          <w:sz w:val="32"/>
          <w:szCs w:val="32"/>
          <w:lang w:val="en-US" w:eastAsia="zh-CN"/>
        </w:rPr>
        <w:t>280万元，医疗设备血管造影机购置资金720万元，医疗专用设备购置项目经费6500万元，药品购置项目经费29500万元，医用耗材购置项目经费20000万元，公立医院承担公共卫生项目补助资金5万元，人才培养资金10万元，医院运行项目经费34300万元，以及上年结转资金1104.43万元。</w:t>
      </w:r>
    </w:p>
    <w:p>
      <w:pPr>
        <w:spacing w:line="584" w:lineRule="exact"/>
        <w:ind w:firstLine="640"/>
        <w:rPr>
          <w:rFonts w:ascii="Times New Roman" w:hAnsi="Times New Roman" w:eastAsia="仿宋_GB2312" w:cs="Times New Roman"/>
          <w:b/>
          <w:color w:val="auto"/>
          <w:sz w:val="32"/>
          <w:szCs w:val="32"/>
        </w:rPr>
      </w:pPr>
      <w:r>
        <w:rPr>
          <w:rFonts w:ascii="Times New Roman" w:hAnsi="Times New Roman" w:eastAsia="仿宋_GB2312" w:cs="Times New Roman"/>
          <w:b/>
          <w:color w:val="auto"/>
          <w:sz w:val="32"/>
          <w:szCs w:val="32"/>
        </w:rPr>
        <w:t>3、比上年增减情况</w:t>
      </w:r>
    </w:p>
    <w:p>
      <w:pPr>
        <w:spacing w:line="584" w:lineRule="exact"/>
        <w:ind w:firstLine="64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20</w:t>
      </w:r>
      <w:r>
        <w:rPr>
          <w:rFonts w:hint="eastAsia" w:ascii="Times New Roman" w:hAnsi="Times New Roman" w:eastAsia="仿宋_GB2312" w:cs="Times New Roman"/>
          <w:color w:val="auto"/>
          <w:sz w:val="32"/>
          <w:szCs w:val="32"/>
          <w:highlight w:val="none"/>
        </w:rPr>
        <w:t>21</w:t>
      </w:r>
      <w:r>
        <w:rPr>
          <w:rFonts w:ascii="Times New Roman" w:hAnsi="Times New Roman" w:eastAsia="仿宋_GB2312" w:cs="Times New Roman"/>
          <w:color w:val="auto"/>
          <w:sz w:val="32"/>
          <w:szCs w:val="32"/>
          <w:highlight w:val="none"/>
        </w:rPr>
        <w:t>年预算收支安排</w:t>
      </w:r>
      <w:r>
        <w:rPr>
          <w:rFonts w:hint="eastAsia" w:ascii="Times New Roman" w:hAnsi="Times New Roman" w:eastAsia="仿宋_GB2312" w:cs="Times New Roman"/>
          <w:color w:val="auto"/>
          <w:sz w:val="32"/>
          <w:szCs w:val="32"/>
          <w:highlight w:val="none"/>
          <w:lang w:val="en-US" w:eastAsia="zh-CN"/>
        </w:rPr>
        <w:t>99181.4</w:t>
      </w:r>
      <w:r>
        <w:rPr>
          <w:rFonts w:ascii="Times New Roman" w:hAnsi="Times New Roman" w:eastAsia="仿宋_GB2312" w:cs="Times New Roman"/>
          <w:color w:val="auto"/>
          <w:sz w:val="32"/>
          <w:szCs w:val="32"/>
          <w:highlight w:val="none"/>
        </w:rPr>
        <w:t>万元，较20</w:t>
      </w:r>
      <w:r>
        <w:rPr>
          <w:rFonts w:hint="eastAsia" w:ascii="Times New Roman" w:hAnsi="Times New Roman" w:eastAsia="仿宋_GB2312" w:cs="Times New Roman"/>
          <w:color w:val="auto"/>
          <w:sz w:val="32"/>
          <w:szCs w:val="32"/>
          <w:highlight w:val="none"/>
        </w:rPr>
        <w:t>20</w:t>
      </w:r>
      <w:r>
        <w:rPr>
          <w:rFonts w:ascii="Times New Roman" w:hAnsi="Times New Roman" w:eastAsia="仿宋_GB2312" w:cs="Times New Roman"/>
          <w:color w:val="auto"/>
          <w:sz w:val="32"/>
          <w:szCs w:val="32"/>
          <w:highlight w:val="none"/>
        </w:rPr>
        <w:t>年预算减少</w:t>
      </w:r>
      <w:r>
        <w:rPr>
          <w:rFonts w:hint="eastAsia" w:ascii="Times New Roman" w:hAnsi="Times New Roman" w:eastAsia="仿宋_GB2312" w:cs="Times New Roman"/>
          <w:color w:val="auto"/>
          <w:sz w:val="32"/>
          <w:szCs w:val="32"/>
          <w:highlight w:val="none"/>
          <w:lang w:val="en-US" w:eastAsia="zh-CN"/>
        </w:rPr>
        <w:t>5981.08</w:t>
      </w:r>
      <w:r>
        <w:rPr>
          <w:rFonts w:ascii="Times New Roman" w:hAnsi="Times New Roman" w:eastAsia="仿宋_GB2312" w:cs="Times New Roman"/>
          <w:color w:val="auto"/>
          <w:sz w:val="32"/>
          <w:szCs w:val="32"/>
          <w:highlight w:val="none"/>
        </w:rPr>
        <w:t>万元，其中：基本支出</w:t>
      </w:r>
      <w:r>
        <w:rPr>
          <w:rFonts w:hint="eastAsia" w:ascii="Times New Roman" w:hAnsi="Times New Roman" w:eastAsia="仿宋_GB2312" w:cs="Times New Roman"/>
          <w:color w:val="auto"/>
          <w:sz w:val="32"/>
          <w:szCs w:val="32"/>
          <w:highlight w:val="none"/>
          <w:lang w:eastAsia="zh-CN"/>
        </w:rPr>
        <w:t>增加</w:t>
      </w:r>
      <w:r>
        <w:rPr>
          <w:rFonts w:hint="eastAsia" w:ascii="Times New Roman" w:hAnsi="Times New Roman" w:eastAsia="仿宋_GB2312" w:cs="Times New Roman"/>
          <w:color w:val="auto"/>
          <w:sz w:val="32"/>
          <w:szCs w:val="32"/>
          <w:highlight w:val="none"/>
          <w:lang w:val="en-US" w:eastAsia="zh-CN"/>
        </w:rPr>
        <w:t>0</w:t>
      </w:r>
      <w:r>
        <w:rPr>
          <w:rFonts w:ascii="Times New Roman" w:hAnsi="Times New Roman" w:eastAsia="仿宋_GB2312" w:cs="Times New Roman"/>
          <w:color w:val="auto"/>
          <w:sz w:val="32"/>
          <w:szCs w:val="32"/>
          <w:highlight w:val="none"/>
        </w:rPr>
        <w:t>万元；项目支出减少</w:t>
      </w:r>
      <w:r>
        <w:rPr>
          <w:rFonts w:hint="eastAsia" w:ascii="Times New Roman" w:hAnsi="Times New Roman" w:eastAsia="仿宋_GB2312" w:cs="Times New Roman"/>
          <w:color w:val="auto"/>
          <w:sz w:val="32"/>
          <w:szCs w:val="32"/>
          <w:highlight w:val="none"/>
          <w:lang w:val="en-US" w:eastAsia="zh-CN"/>
        </w:rPr>
        <w:t>7085.51</w:t>
      </w:r>
      <w:r>
        <w:rPr>
          <w:rFonts w:ascii="Times New Roman" w:hAnsi="Times New Roman" w:eastAsia="仿宋_GB2312" w:cs="Times New Roman"/>
          <w:color w:val="auto"/>
          <w:sz w:val="32"/>
          <w:szCs w:val="32"/>
          <w:highlight w:val="none"/>
        </w:rPr>
        <w:t>万元</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主要为</w:t>
      </w:r>
      <w:r>
        <w:rPr>
          <w:rFonts w:hint="eastAsia" w:ascii="Times New Roman" w:hAnsi="Times New Roman" w:eastAsia="仿宋_GB2312" w:cs="Times New Roman"/>
          <w:color w:val="auto"/>
          <w:sz w:val="32"/>
          <w:szCs w:val="32"/>
          <w:highlight w:val="none"/>
          <w:lang w:eastAsia="zh-CN"/>
        </w:rPr>
        <w:t>医疗专用设备购置、药品消耗、医院运行项目支出；增加上年结转资金</w:t>
      </w:r>
      <w:r>
        <w:rPr>
          <w:rFonts w:hint="eastAsia" w:ascii="Times New Roman" w:hAnsi="Times New Roman" w:eastAsia="仿宋_GB2312" w:cs="Times New Roman"/>
          <w:color w:val="auto"/>
          <w:sz w:val="32"/>
          <w:szCs w:val="32"/>
          <w:highlight w:val="none"/>
          <w:lang w:val="en-US" w:eastAsia="zh-CN"/>
        </w:rPr>
        <w:t>1104.43万元。</w:t>
      </w:r>
    </w:p>
    <w:p>
      <w:pPr>
        <w:autoSpaceDE w:val="0"/>
        <w:autoSpaceDN w:val="0"/>
        <w:adjustRightInd w:val="0"/>
        <w:spacing w:line="584" w:lineRule="exact"/>
        <w:ind w:left="198" w:firstLine="640" w:firstLineChars="200"/>
        <w:jc w:val="left"/>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20</w:t>
      </w:r>
      <w:r>
        <w:rPr>
          <w:rFonts w:hint="eastAsia" w:ascii="Times New Roman" w:hAnsi="Times New Roman" w:eastAsia="仿宋_GB2312" w:cs="Times New Roman"/>
          <w:color w:val="auto"/>
          <w:sz w:val="32"/>
          <w:szCs w:val="32"/>
          <w:highlight w:val="none"/>
        </w:rPr>
        <w:t>21</w:t>
      </w:r>
      <w:r>
        <w:rPr>
          <w:rFonts w:ascii="Times New Roman" w:hAnsi="Times New Roman" w:eastAsia="仿宋_GB2312" w:cs="Times New Roman"/>
          <w:color w:val="auto"/>
          <w:sz w:val="32"/>
          <w:szCs w:val="32"/>
          <w:highlight w:val="none"/>
        </w:rPr>
        <w:t>年，我</w:t>
      </w:r>
      <w:r>
        <w:rPr>
          <w:rFonts w:hint="eastAsia" w:ascii="Times New Roman" w:hAnsi="Times New Roman" w:eastAsia="仿宋_GB2312" w:cs="Times New Roman"/>
          <w:color w:val="auto"/>
          <w:sz w:val="32"/>
          <w:szCs w:val="32"/>
          <w:highlight w:val="none"/>
          <w:lang w:eastAsia="zh-CN"/>
        </w:rPr>
        <w:t>院</w:t>
      </w:r>
      <w:r>
        <w:rPr>
          <w:rFonts w:ascii="Times New Roman" w:hAnsi="Times New Roman" w:eastAsia="仿宋_GB2312" w:cs="Times New Roman"/>
          <w:color w:val="auto"/>
          <w:sz w:val="32"/>
          <w:szCs w:val="32"/>
          <w:highlight w:val="none"/>
        </w:rPr>
        <w:t>机关运行经费共计安排</w:t>
      </w:r>
      <w:r>
        <w:rPr>
          <w:rFonts w:hint="eastAsia" w:ascii="Times New Roman" w:hAnsi="Times New Roman" w:eastAsia="仿宋_GB2312" w:cs="Times New Roman"/>
          <w:color w:val="auto"/>
          <w:sz w:val="32"/>
          <w:szCs w:val="32"/>
          <w:highlight w:val="none"/>
          <w:lang w:val="en-US" w:eastAsia="zh-CN"/>
        </w:rPr>
        <w:t>0</w:t>
      </w:r>
      <w:r>
        <w:rPr>
          <w:rFonts w:ascii="Times New Roman" w:hAnsi="Times New Roman" w:eastAsia="仿宋_GB2312" w:cs="Times New Roman"/>
          <w:color w:val="auto"/>
          <w:sz w:val="32"/>
          <w:szCs w:val="32"/>
          <w:highlight w:val="none"/>
        </w:rPr>
        <w:t>万元。</w:t>
      </w:r>
    </w:p>
    <w:p>
      <w:pPr>
        <w:autoSpaceDE w:val="0"/>
        <w:autoSpaceDN w:val="0"/>
        <w:adjustRightInd w:val="0"/>
        <w:spacing w:line="584" w:lineRule="exact"/>
        <w:ind w:firstLine="630" w:firstLineChars="196"/>
        <w:jc w:val="left"/>
        <w:rPr>
          <w:rFonts w:ascii="Times New Roman" w:hAnsi="Times New Roman" w:eastAsia="仿宋_GB2312" w:cs="Times New Roman"/>
          <w:b/>
          <w:color w:val="auto"/>
          <w:sz w:val="32"/>
          <w:szCs w:val="32"/>
          <w:highlight w:val="none"/>
        </w:rPr>
      </w:pPr>
      <w:r>
        <w:rPr>
          <w:rFonts w:ascii="Times New Roman" w:hAnsi="Times New Roman" w:eastAsia="仿宋_GB2312" w:cs="Times New Roman"/>
          <w:b/>
          <w:color w:val="auto"/>
          <w:sz w:val="32"/>
          <w:szCs w:val="32"/>
          <w:highlight w:val="none"/>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20</w:t>
      </w:r>
      <w:r>
        <w:rPr>
          <w:rFonts w:hint="eastAsia" w:ascii="Times New Roman" w:hAnsi="Times New Roman" w:eastAsia="仿宋_GB2312" w:cs="Times New Roman"/>
          <w:color w:val="auto"/>
          <w:sz w:val="32"/>
          <w:szCs w:val="32"/>
          <w:highlight w:val="none"/>
        </w:rPr>
        <w:t>21</w:t>
      </w:r>
      <w:r>
        <w:rPr>
          <w:rFonts w:ascii="Times New Roman" w:hAnsi="Times New Roman" w:eastAsia="仿宋_GB2312" w:cs="Times New Roman"/>
          <w:color w:val="auto"/>
          <w:sz w:val="32"/>
          <w:szCs w:val="32"/>
          <w:highlight w:val="none"/>
        </w:rPr>
        <w:t>年，我</w:t>
      </w:r>
      <w:r>
        <w:rPr>
          <w:rFonts w:hint="eastAsia" w:ascii="Times New Roman" w:hAnsi="Times New Roman" w:eastAsia="仿宋_GB2312" w:cs="Times New Roman"/>
          <w:color w:val="auto"/>
          <w:sz w:val="32"/>
          <w:szCs w:val="32"/>
          <w:highlight w:val="none"/>
          <w:lang w:eastAsia="zh-CN"/>
        </w:rPr>
        <w:t>院</w:t>
      </w:r>
      <w:r>
        <w:rPr>
          <w:rFonts w:ascii="Times New Roman" w:hAnsi="Times New Roman" w:eastAsia="仿宋_GB2312" w:cs="Times New Roman"/>
          <w:color w:val="auto"/>
          <w:sz w:val="32"/>
          <w:szCs w:val="32"/>
          <w:highlight w:val="none"/>
        </w:rPr>
        <w:t>财政拨款“三公”经费预算安排</w:t>
      </w:r>
      <w:r>
        <w:rPr>
          <w:rFonts w:hint="eastAsia" w:ascii="Times New Roman" w:hAnsi="Times New Roman" w:eastAsia="仿宋_GB2312" w:cs="Times New Roman"/>
          <w:color w:val="auto"/>
          <w:sz w:val="32"/>
          <w:szCs w:val="32"/>
          <w:highlight w:val="none"/>
          <w:lang w:val="en-US" w:eastAsia="zh-CN"/>
        </w:rPr>
        <w:t>0</w:t>
      </w:r>
      <w:r>
        <w:rPr>
          <w:rFonts w:ascii="Times New Roman" w:hAnsi="Times New Roman" w:eastAsia="仿宋_GB2312" w:cs="Times New Roman"/>
          <w:color w:val="auto"/>
          <w:sz w:val="32"/>
          <w:szCs w:val="32"/>
          <w:highlight w:val="none"/>
        </w:rPr>
        <w:t>万元</w:t>
      </w:r>
      <w:r>
        <w:rPr>
          <w:rFonts w:hint="eastAsia"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（与20</w:t>
      </w:r>
      <w:r>
        <w:rPr>
          <w:rFonts w:hint="eastAsia" w:ascii="Times New Roman" w:hAnsi="Times New Roman" w:eastAsia="仿宋_GB2312" w:cs="Times New Roman"/>
          <w:color w:val="auto"/>
          <w:sz w:val="32"/>
          <w:szCs w:val="32"/>
          <w:highlight w:val="none"/>
        </w:rPr>
        <w:t>20</w:t>
      </w:r>
      <w:r>
        <w:rPr>
          <w:rFonts w:ascii="Times New Roman" w:hAnsi="Times New Roman" w:eastAsia="仿宋_GB2312" w:cs="Times New Roman"/>
          <w:color w:val="auto"/>
          <w:sz w:val="32"/>
          <w:szCs w:val="32"/>
          <w:highlight w:val="none"/>
        </w:rPr>
        <w:t>年相比持平，无增减变化。）</w:t>
      </w:r>
    </w:p>
    <w:p>
      <w:pPr>
        <w:spacing w:line="584" w:lineRule="exact"/>
        <w:ind w:firstLine="640" w:firstLineChars="200"/>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五、绩效预算信息</w:t>
      </w:r>
      <w:r>
        <w:rPr>
          <w:rFonts w:hint="eastAsia" w:ascii="仿宋_GB2312" w:eastAsia="仿宋_GB2312" w:cs="Times New Roman"/>
          <w:color w:val="auto"/>
          <w:sz w:val="32"/>
          <w:szCs w:val="32"/>
          <w:highlight w:val="none"/>
        </w:rPr>
        <w:t>（与部门绩效文本内容保持一致）</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通过提供综合性的理疗护理、医疗保健、医疗服务，承担国家医疗课题，培养高级临床医学人才等工作，提升医院整体医疗水平及救治水平，满足辖区人民群众的医疗需求，为患者健康保驾护航。</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eastAsia="zh-CN"/>
        </w:rPr>
        <w:t>人才培养资金</w:t>
      </w:r>
      <w:r>
        <w:rPr>
          <w:rFonts w:ascii="Times New Roman" w:hAnsi="Times New Roman" w:eastAsia="仿宋_GB2312" w:cs="Times New Roman"/>
          <w:sz w:val="28"/>
        </w:rPr>
        <w:t>绩效目标表</w:t>
      </w:r>
      <w:bookmarkStart w:id="0" w:name="_Toc29799657"/>
      <w:bookmarkEnd w:id="0"/>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通过项目开展，完成约20名医生护士进修培训，确保培训人员考试合格率，费用报销及时准确，增强职工职业素质和专业水平，促进医院可持续发展。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7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数量指标</w:t>
            </w:r>
          </w:p>
        </w:tc>
        <w:tc>
          <w:tcPr>
            <w:tcW w:w="198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参加培训人员</w:t>
            </w:r>
          </w:p>
        </w:tc>
        <w:tc>
          <w:tcPr>
            <w:tcW w:w="3402"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参加培训人次</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20人</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培训工作计划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质量指标</w:t>
            </w:r>
          </w:p>
        </w:tc>
        <w:tc>
          <w:tcPr>
            <w:tcW w:w="198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培训合格率</w:t>
            </w:r>
          </w:p>
        </w:tc>
        <w:tc>
          <w:tcPr>
            <w:tcW w:w="3402"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参加培训人员考试合格率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90%</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时效指标</w:t>
            </w:r>
          </w:p>
        </w:tc>
        <w:tc>
          <w:tcPr>
            <w:tcW w:w="198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费用报销及时率</w:t>
            </w:r>
          </w:p>
        </w:tc>
        <w:tc>
          <w:tcPr>
            <w:tcW w:w="3402"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费用报销及时，手续完备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财务凭证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成本指标</w:t>
            </w:r>
          </w:p>
        </w:tc>
        <w:tc>
          <w:tcPr>
            <w:tcW w:w="198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每人每天北京住宿费成本</w:t>
            </w:r>
          </w:p>
        </w:tc>
        <w:tc>
          <w:tcPr>
            <w:tcW w:w="3402"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人均费用情况</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500元/人</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财务凭证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成本指标</w:t>
            </w:r>
          </w:p>
        </w:tc>
        <w:tc>
          <w:tcPr>
            <w:tcW w:w="198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每人每天伙食补助成本</w:t>
            </w:r>
          </w:p>
        </w:tc>
        <w:tc>
          <w:tcPr>
            <w:tcW w:w="3402"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人均费用情况</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50元/人</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财务凭证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08"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社会效益指标</w:t>
            </w:r>
          </w:p>
        </w:tc>
        <w:tc>
          <w:tcPr>
            <w:tcW w:w="198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培训前后能力提升对比情况</w:t>
            </w:r>
          </w:p>
        </w:tc>
        <w:tc>
          <w:tcPr>
            <w:tcW w:w="3402"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培训前后能力提升对比情况</w:t>
            </w: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提升</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医院人才培养计划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服务对象满意度指标</w:t>
            </w:r>
          </w:p>
        </w:tc>
        <w:tc>
          <w:tcPr>
            <w:tcW w:w="198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培训人员满意程度</w:t>
            </w:r>
          </w:p>
        </w:tc>
        <w:tc>
          <w:tcPr>
            <w:tcW w:w="3402"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培训人员满意度</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85%</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人员反馈</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eastAsia="zh-CN"/>
        </w:rPr>
        <w:t>医院运行项目经费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hint="eastAsia" w:ascii="Times New Roman" w:hAnsi="Times New Roman" w:eastAsia="仿宋_GB2312" w:cs="Times New Roman"/>
                <w:b/>
              </w:rPr>
            </w:pPr>
            <w:r>
              <w:rPr>
                <w:rFonts w:hint="eastAsia" w:ascii="Times New Roman" w:hAnsi="Times New Roman" w:eastAsia="仿宋_GB2312" w:cs="Times New Roman"/>
                <w:b/>
                <w:lang w:val="en-US" w:eastAsia="zh-CN"/>
              </w:rPr>
              <w:t>1.</w:t>
            </w:r>
            <w:r>
              <w:rPr>
                <w:rFonts w:hint="eastAsia" w:ascii="Times New Roman" w:hAnsi="Times New Roman" w:eastAsia="仿宋_GB2312" w:cs="Times New Roman"/>
                <w:b/>
              </w:rPr>
              <w:t>2021年计划完成人员工资全额、及时发放，医疗业务正常开展，提升医院综合能力。</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2.通过项目的实施，提升职工积极性，改善就医环境，更好的保障人民群众生命健康。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数量指标</w:t>
            </w:r>
          </w:p>
        </w:tc>
        <w:tc>
          <w:tcPr>
            <w:tcW w:w="198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人员工资发放率</w:t>
            </w:r>
          </w:p>
        </w:tc>
        <w:tc>
          <w:tcPr>
            <w:tcW w:w="3402"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工资是否全员发放</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人员工资表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center"/>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质量指标</w:t>
            </w:r>
          </w:p>
        </w:tc>
        <w:tc>
          <w:tcPr>
            <w:tcW w:w="198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工资全额发放率</w:t>
            </w:r>
          </w:p>
        </w:tc>
        <w:tc>
          <w:tcPr>
            <w:tcW w:w="3402"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工资是否全额发放</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人员工资表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center"/>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时效指标</w:t>
            </w:r>
          </w:p>
        </w:tc>
        <w:tc>
          <w:tcPr>
            <w:tcW w:w="198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工资发放及时率</w:t>
            </w:r>
          </w:p>
        </w:tc>
        <w:tc>
          <w:tcPr>
            <w:tcW w:w="3402"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工资是否及时发放</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人员工资表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center"/>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成本指标</w:t>
            </w:r>
          </w:p>
        </w:tc>
        <w:tc>
          <w:tcPr>
            <w:tcW w:w="198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人均工资成本</w:t>
            </w:r>
          </w:p>
        </w:tc>
        <w:tc>
          <w:tcPr>
            <w:tcW w:w="3402"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人均工资成本</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10万元/人</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人员工资表、财务凭证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08"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社会效益指标</w:t>
            </w:r>
          </w:p>
        </w:tc>
        <w:tc>
          <w:tcPr>
            <w:tcW w:w="198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门诊人次增长率</w:t>
            </w:r>
          </w:p>
        </w:tc>
        <w:tc>
          <w:tcPr>
            <w:tcW w:w="3402"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门诊人次增长率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1%</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统计系统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lang w:eastAsia="zh-CN"/>
              </w:rPr>
              <w:t>服务对象满意度指标</w:t>
            </w:r>
          </w:p>
        </w:tc>
        <w:tc>
          <w:tcPr>
            <w:tcW w:w="198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职工满意度</w:t>
            </w:r>
          </w:p>
        </w:tc>
        <w:tc>
          <w:tcPr>
            <w:tcW w:w="3402"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职工满意度</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85%</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医疗设备血管造影机购置资金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2112"/>
        <w:gridCol w:w="3275"/>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numPr>
                <w:ilvl w:val="0"/>
                <w:numId w:val="0"/>
              </w:numPr>
              <w:spacing w:line="300" w:lineRule="exact"/>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1.通过项目的执行，完成1台医疗设备购置，保证验收合格率，确保设备使用率。</w:t>
            </w:r>
          </w:p>
          <w:p>
            <w:pPr>
              <w:numPr>
                <w:ilvl w:val="0"/>
                <w:numId w:val="0"/>
              </w:numPr>
              <w:spacing w:line="300" w:lineRule="exact"/>
              <w:rPr>
                <w:rFonts w:ascii="Times New Roman" w:hAnsi="Times New Roman" w:eastAsia="仿宋_GB2312" w:cs="Times New Roman"/>
                <w:b/>
              </w:rPr>
            </w:pPr>
            <w:r>
              <w:rPr>
                <w:rFonts w:hint="eastAsia" w:ascii="Times New Roman" w:hAnsi="Times New Roman" w:eastAsia="仿宋_GB2312" w:cs="Times New Roman"/>
                <w:b/>
                <w:lang w:val="en-US" w:eastAsia="zh-CN"/>
              </w:rPr>
              <w:t>2.通过项目的实施，实现三甲医院的学科领头作用，解决目前诊疗量大幅增加的问题，提 高临床研究和日常诊断能力，提升我院介入科诊疗水平。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1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2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数量指标</w:t>
            </w:r>
          </w:p>
        </w:tc>
        <w:tc>
          <w:tcPr>
            <w:tcW w:w="2112"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购置设备数量</w:t>
            </w:r>
          </w:p>
        </w:tc>
        <w:tc>
          <w:tcPr>
            <w:tcW w:w="327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购置设备数量</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1台</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center"/>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质量指标</w:t>
            </w:r>
          </w:p>
        </w:tc>
        <w:tc>
          <w:tcPr>
            <w:tcW w:w="2112"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设备验收合格率</w:t>
            </w:r>
          </w:p>
        </w:tc>
        <w:tc>
          <w:tcPr>
            <w:tcW w:w="327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设备验收情况</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设备验收单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center"/>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时效指标</w:t>
            </w:r>
          </w:p>
        </w:tc>
        <w:tc>
          <w:tcPr>
            <w:tcW w:w="2112"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购置设备付款及时率</w:t>
            </w:r>
          </w:p>
        </w:tc>
        <w:tc>
          <w:tcPr>
            <w:tcW w:w="327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付款是否及时</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财务凭证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center"/>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成本指标</w:t>
            </w:r>
          </w:p>
        </w:tc>
        <w:tc>
          <w:tcPr>
            <w:tcW w:w="2112"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每台血管造影机财政投入成本</w:t>
            </w:r>
          </w:p>
        </w:tc>
        <w:tc>
          <w:tcPr>
            <w:tcW w:w="327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每台血管造影机财政投入成本</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720万元/台</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财务凭证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08"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社会效益指标</w:t>
            </w:r>
          </w:p>
        </w:tc>
        <w:tc>
          <w:tcPr>
            <w:tcW w:w="2112"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设备使用率</w:t>
            </w:r>
          </w:p>
        </w:tc>
        <w:tc>
          <w:tcPr>
            <w:tcW w:w="327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设备使用情况</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≥90%</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设备使用情况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lang w:eastAsia="zh-CN"/>
              </w:rPr>
              <w:t>服务对象满意度指标</w:t>
            </w:r>
          </w:p>
        </w:tc>
        <w:tc>
          <w:tcPr>
            <w:tcW w:w="2112"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设备使用人员满意度</w:t>
            </w:r>
          </w:p>
        </w:tc>
        <w:tc>
          <w:tcPr>
            <w:tcW w:w="327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设备使用人员满意度</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85%</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人员反馈</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公立医院承担公共卫生项目补助资金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2112"/>
        <w:gridCol w:w="3393"/>
        <w:gridCol w:w="172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numPr>
                <w:ilvl w:val="0"/>
                <w:numId w:val="0"/>
              </w:numPr>
              <w:spacing w:line="300" w:lineRule="exact"/>
              <w:rPr>
                <w:rFonts w:ascii="Times New Roman" w:hAnsi="Times New Roman" w:eastAsia="仿宋_GB2312" w:cs="Times New Roman"/>
                <w:b/>
              </w:rPr>
            </w:pPr>
            <w:r>
              <w:rPr>
                <w:rFonts w:hint="eastAsia" w:ascii="Times New Roman" w:hAnsi="Times New Roman" w:eastAsia="仿宋_GB2312" w:cs="Times New Roman"/>
                <w:b/>
                <w:lang w:val="en-US" w:eastAsia="zh-CN"/>
              </w:rPr>
              <w:t>1.通过项目开展，确保2名医生补贴全额、及时发放，提升对口支援工作人员的积极性，实现受援医院服务能力的持续提升。 2.通过实施项目，完善对口支援医院学科建设，临床科室建设，医院管理规范等工作，减轻我院人员费用负担，提升支援人员积极性。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1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39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2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数量指标</w:t>
            </w:r>
          </w:p>
        </w:tc>
        <w:tc>
          <w:tcPr>
            <w:tcW w:w="2112"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发放补贴人数</w:t>
            </w:r>
          </w:p>
        </w:tc>
        <w:tc>
          <w:tcPr>
            <w:tcW w:w="3393"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发放援疆补贴人员</w:t>
            </w:r>
          </w:p>
        </w:tc>
        <w:tc>
          <w:tcPr>
            <w:tcW w:w="1725"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2人</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领取人是否符合领取条件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center"/>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质量指标</w:t>
            </w:r>
          </w:p>
        </w:tc>
        <w:tc>
          <w:tcPr>
            <w:tcW w:w="2112"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补贴发放率</w:t>
            </w:r>
          </w:p>
        </w:tc>
        <w:tc>
          <w:tcPr>
            <w:tcW w:w="3393"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补贴是否全额发放</w:t>
            </w:r>
          </w:p>
        </w:tc>
        <w:tc>
          <w:tcPr>
            <w:tcW w:w="1725"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工资发放表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center"/>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时效指标</w:t>
            </w:r>
          </w:p>
        </w:tc>
        <w:tc>
          <w:tcPr>
            <w:tcW w:w="2112"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补贴发放及时率</w:t>
            </w:r>
          </w:p>
        </w:tc>
        <w:tc>
          <w:tcPr>
            <w:tcW w:w="3393"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补贴是否及时发放</w:t>
            </w:r>
          </w:p>
        </w:tc>
        <w:tc>
          <w:tcPr>
            <w:tcW w:w="1725"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工资发放表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center"/>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成本指标</w:t>
            </w:r>
          </w:p>
        </w:tc>
        <w:tc>
          <w:tcPr>
            <w:tcW w:w="2112"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每人每月补贴发放成本</w:t>
            </w:r>
          </w:p>
        </w:tc>
        <w:tc>
          <w:tcPr>
            <w:tcW w:w="3393"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人均补助发放情况</w:t>
            </w:r>
          </w:p>
        </w:tc>
        <w:tc>
          <w:tcPr>
            <w:tcW w:w="1725"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0.28万元/人</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工资发放表，财务凭证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08"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社会效益指标</w:t>
            </w:r>
          </w:p>
        </w:tc>
        <w:tc>
          <w:tcPr>
            <w:tcW w:w="2112"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受援前后服务能力提升对比情况</w:t>
            </w:r>
          </w:p>
        </w:tc>
        <w:tc>
          <w:tcPr>
            <w:tcW w:w="3393"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受援前后服务能力提升对比情况表</w:t>
            </w:r>
          </w:p>
        </w:tc>
        <w:tc>
          <w:tcPr>
            <w:tcW w:w="1725"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提升</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对口支援医院计划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lang w:eastAsia="zh-CN"/>
              </w:rPr>
              <w:t>服务对象满意度指标</w:t>
            </w:r>
          </w:p>
        </w:tc>
        <w:tc>
          <w:tcPr>
            <w:tcW w:w="2112"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领取人员满意度</w:t>
            </w:r>
          </w:p>
        </w:tc>
        <w:tc>
          <w:tcPr>
            <w:tcW w:w="3393"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领取人员满意度</w:t>
            </w:r>
          </w:p>
        </w:tc>
        <w:tc>
          <w:tcPr>
            <w:tcW w:w="1725"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≥85%</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人员反馈</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医用耗材购置项目经费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2112"/>
        <w:gridCol w:w="3393"/>
        <w:gridCol w:w="172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01"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numPr>
                <w:ilvl w:val="0"/>
                <w:numId w:val="0"/>
              </w:numPr>
              <w:spacing w:line="300" w:lineRule="exact"/>
              <w:rPr>
                <w:rFonts w:hint="eastAsia" w:ascii="Times New Roman" w:hAnsi="Times New Roman" w:eastAsia="仿宋_GB2312" w:cs="Times New Roman"/>
                <w:b/>
              </w:rPr>
            </w:pPr>
            <w:r>
              <w:rPr>
                <w:rFonts w:hint="eastAsia" w:ascii="Times New Roman" w:hAnsi="Times New Roman" w:eastAsia="仿宋_GB2312" w:cs="Times New Roman"/>
                <w:b/>
              </w:rPr>
              <w:t>1.2021年按计划完成医用耗材购置数量，保证耗材验收合格率，保证付款及时率。</w:t>
            </w:r>
          </w:p>
          <w:p>
            <w:pPr>
              <w:numPr>
                <w:ilvl w:val="0"/>
                <w:numId w:val="0"/>
              </w:numPr>
              <w:spacing w:line="300" w:lineRule="exact"/>
              <w:rPr>
                <w:rFonts w:ascii="Times New Roman" w:hAnsi="Times New Roman" w:eastAsia="仿宋_GB2312" w:cs="Times New Roman"/>
                <w:b/>
              </w:rPr>
            </w:pPr>
            <w:r>
              <w:rPr>
                <w:rFonts w:hint="eastAsia" w:ascii="Times New Roman" w:hAnsi="Times New Roman" w:eastAsia="仿宋_GB2312" w:cs="Times New Roman"/>
                <w:b/>
              </w:rPr>
              <w:t>2.通过项目的实施，减轻患者痛苦，提高医疗救治水平，保障患者生命健康，保障医院可持续发展。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1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39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2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数量指标</w:t>
            </w:r>
          </w:p>
        </w:tc>
        <w:tc>
          <w:tcPr>
            <w:tcW w:w="2112"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医用耗材购置数量完成率</w:t>
            </w:r>
          </w:p>
        </w:tc>
        <w:tc>
          <w:tcPr>
            <w:tcW w:w="3393"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根据采购计划，按数量入库</w:t>
            </w:r>
          </w:p>
        </w:tc>
        <w:tc>
          <w:tcPr>
            <w:tcW w:w="1725"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center"/>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质量指标</w:t>
            </w:r>
          </w:p>
        </w:tc>
        <w:tc>
          <w:tcPr>
            <w:tcW w:w="2112"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耗材验收合格率</w:t>
            </w:r>
          </w:p>
        </w:tc>
        <w:tc>
          <w:tcPr>
            <w:tcW w:w="3393"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耗材验收是否合格</w:t>
            </w:r>
          </w:p>
        </w:tc>
        <w:tc>
          <w:tcPr>
            <w:tcW w:w="1725"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验收记录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center"/>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时效指标</w:t>
            </w:r>
          </w:p>
        </w:tc>
        <w:tc>
          <w:tcPr>
            <w:tcW w:w="2112"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购置耗材付款及时率</w:t>
            </w:r>
          </w:p>
        </w:tc>
        <w:tc>
          <w:tcPr>
            <w:tcW w:w="3393"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付款是否及时</w:t>
            </w:r>
          </w:p>
        </w:tc>
        <w:tc>
          <w:tcPr>
            <w:tcW w:w="1725"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财务凭证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center"/>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成本指标</w:t>
            </w:r>
          </w:p>
        </w:tc>
        <w:tc>
          <w:tcPr>
            <w:tcW w:w="2112"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购置耗材成本</w:t>
            </w:r>
          </w:p>
        </w:tc>
        <w:tc>
          <w:tcPr>
            <w:tcW w:w="3393"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购置耗材成本</w:t>
            </w:r>
          </w:p>
        </w:tc>
        <w:tc>
          <w:tcPr>
            <w:tcW w:w="1725"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≤20000万元/年</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财务凭证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08"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社会效益指标</w:t>
            </w:r>
          </w:p>
        </w:tc>
        <w:tc>
          <w:tcPr>
            <w:tcW w:w="2112"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门诊人次增长率</w:t>
            </w:r>
          </w:p>
        </w:tc>
        <w:tc>
          <w:tcPr>
            <w:tcW w:w="3393"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门诊人次增长率</w:t>
            </w:r>
          </w:p>
        </w:tc>
        <w:tc>
          <w:tcPr>
            <w:tcW w:w="1725"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统计系统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lang w:eastAsia="zh-CN"/>
              </w:rPr>
              <w:t>服务对象满意度指标</w:t>
            </w:r>
          </w:p>
        </w:tc>
        <w:tc>
          <w:tcPr>
            <w:tcW w:w="2112"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患者满意度</w:t>
            </w:r>
          </w:p>
        </w:tc>
        <w:tc>
          <w:tcPr>
            <w:tcW w:w="3393"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患者满意度</w:t>
            </w:r>
          </w:p>
        </w:tc>
        <w:tc>
          <w:tcPr>
            <w:tcW w:w="1725"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≥85%</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患者回访系统，权利运行监控系统</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心血管内科重点学科建设资金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038"/>
        <w:gridCol w:w="221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numPr>
                <w:ilvl w:val="0"/>
                <w:numId w:val="0"/>
              </w:numPr>
              <w:spacing w:line="300" w:lineRule="exact"/>
              <w:rPr>
                <w:rFonts w:hint="eastAsia" w:ascii="Times New Roman" w:hAnsi="Times New Roman" w:eastAsia="仿宋_GB2312" w:cs="Times New Roman"/>
                <w:b/>
              </w:rPr>
            </w:pPr>
            <w:r>
              <w:rPr>
                <w:rFonts w:hint="eastAsia" w:ascii="Times New Roman" w:hAnsi="Times New Roman" w:eastAsia="仿宋_GB2312" w:cs="Times New Roman"/>
                <w:b/>
                <w:lang w:val="en-US" w:eastAsia="zh-CN"/>
              </w:rPr>
              <w:t>1.</w:t>
            </w:r>
            <w:r>
              <w:rPr>
                <w:rFonts w:hint="eastAsia" w:ascii="Times New Roman" w:hAnsi="Times New Roman" w:eastAsia="仿宋_GB2312" w:cs="Times New Roman"/>
                <w:b/>
              </w:rPr>
              <w:t>通过项目计划，2021年完成购置设备6台，保证设备验收合格率，保证付款及时。</w:t>
            </w:r>
          </w:p>
          <w:p>
            <w:pPr>
              <w:numPr>
                <w:ilvl w:val="0"/>
                <w:numId w:val="0"/>
              </w:numPr>
              <w:spacing w:line="300" w:lineRule="exact"/>
              <w:rPr>
                <w:rFonts w:ascii="Times New Roman" w:hAnsi="Times New Roman" w:eastAsia="仿宋_GB2312" w:cs="Times New Roman"/>
                <w:b/>
              </w:rPr>
            </w:pPr>
            <w:r>
              <w:rPr>
                <w:rFonts w:hint="eastAsia" w:ascii="Times New Roman" w:hAnsi="Times New Roman" w:eastAsia="仿宋_GB2312" w:cs="Times New Roman"/>
                <w:b/>
                <w:lang w:val="en-US" w:eastAsia="zh-CN"/>
              </w:rPr>
              <w:t>2.</w:t>
            </w:r>
            <w:r>
              <w:rPr>
                <w:rFonts w:hint="eastAsia" w:ascii="Times New Roman" w:hAnsi="Times New Roman" w:eastAsia="仿宋_GB2312" w:cs="Times New Roman"/>
                <w:b/>
              </w:rPr>
              <w:t>通过项目实施，确保心血管患者在黄金时间内得到救治，有效减少致残及死亡率，减少危重症患者外转率。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03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21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7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038"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数量指标</w:t>
            </w:r>
          </w:p>
        </w:tc>
        <w:tc>
          <w:tcPr>
            <w:tcW w:w="221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购置设备数量</w:t>
            </w:r>
          </w:p>
        </w:tc>
        <w:tc>
          <w:tcPr>
            <w:tcW w:w="3402"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购置设备数量</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38台</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038"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质量指标</w:t>
            </w:r>
          </w:p>
        </w:tc>
        <w:tc>
          <w:tcPr>
            <w:tcW w:w="221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设备验收合格率</w:t>
            </w:r>
          </w:p>
        </w:tc>
        <w:tc>
          <w:tcPr>
            <w:tcW w:w="3402"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设备验收情况</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设备验收单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038"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时效指标</w:t>
            </w:r>
          </w:p>
        </w:tc>
        <w:tc>
          <w:tcPr>
            <w:tcW w:w="221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设备购置付款及时率</w:t>
            </w:r>
          </w:p>
        </w:tc>
        <w:tc>
          <w:tcPr>
            <w:tcW w:w="3402"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付款情况</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财务凭证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038"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成本指标</w:t>
            </w:r>
          </w:p>
        </w:tc>
        <w:tc>
          <w:tcPr>
            <w:tcW w:w="221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每台气囊式体外反搏装置成本</w:t>
            </w:r>
          </w:p>
        </w:tc>
        <w:tc>
          <w:tcPr>
            <w:tcW w:w="3402"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每台气囊式体外反搏装置财政投入成本</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20万元/台</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财务凭证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038"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成本指标</w:t>
            </w:r>
          </w:p>
        </w:tc>
        <w:tc>
          <w:tcPr>
            <w:tcW w:w="221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每台床旁超声成本</w:t>
            </w:r>
          </w:p>
        </w:tc>
        <w:tc>
          <w:tcPr>
            <w:tcW w:w="3402"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每台床旁超声财政投入成本</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60万元/台</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财务凭证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038"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成本指标</w:t>
            </w:r>
          </w:p>
        </w:tc>
        <w:tc>
          <w:tcPr>
            <w:tcW w:w="221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每台多导电生理仪成本</w:t>
            </w:r>
          </w:p>
        </w:tc>
        <w:tc>
          <w:tcPr>
            <w:tcW w:w="3402"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每台多导电生理仪财政投入成本</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40万元/台</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财务凭证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08"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038"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社会效益指标</w:t>
            </w:r>
          </w:p>
        </w:tc>
        <w:tc>
          <w:tcPr>
            <w:tcW w:w="221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设备使用率</w:t>
            </w:r>
          </w:p>
        </w:tc>
        <w:tc>
          <w:tcPr>
            <w:tcW w:w="3402"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设备使用情况</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90%</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病例明细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038"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服务对象满意度指标</w:t>
            </w:r>
          </w:p>
        </w:tc>
        <w:tc>
          <w:tcPr>
            <w:tcW w:w="221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设备使用人员满意度</w:t>
            </w:r>
          </w:p>
        </w:tc>
        <w:tc>
          <w:tcPr>
            <w:tcW w:w="3402"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设备使用人员满意度</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≥85%</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人员反馈</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7</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药品购置项目经费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2112"/>
        <w:gridCol w:w="3393"/>
        <w:gridCol w:w="172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numPr>
                <w:ilvl w:val="0"/>
                <w:numId w:val="0"/>
              </w:numPr>
              <w:spacing w:line="300" w:lineRule="exact"/>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1.2021年完成药品购置数量，保证验收合格率，保证付款及时。</w:t>
            </w:r>
          </w:p>
          <w:p>
            <w:pPr>
              <w:numPr>
                <w:ilvl w:val="0"/>
                <w:numId w:val="0"/>
              </w:numPr>
              <w:spacing w:line="300" w:lineRule="exact"/>
              <w:rPr>
                <w:rFonts w:ascii="Times New Roman" w:hAnsi="Times New Roman" w:eastAsia="仿宋_GB2312" w:cs="Times New Roman"/>
                <w:b/>
              </w:rPr>
            </w:pPr>
            <w:r>
              <w:rPr>
                <w:rFonts w:hint="eastAsia" w:ascii="Times New Roman" w:hAnsi="Times New Roman" w:eastAsia="仿宋_GB2312" w:cs="Times New Roman"/>
                <w:b/>
                <w:lang w:val="en-US" w:eastAsia="zh-CN"/>
              </w:rPr>
              <w:t>2.通过项目实施，减轻患者痛苦，提高医疗救治水平，保障患者生命安全。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1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39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2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数量指标</w:t>
            </w:r>
          </w:p>
        </w:tc>
        <w:tc>
          <w:tcPr>
            <w:tcW w:w="2112"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药品购置数量完成率</w:t>
            </w:r>
          </w:p>
        </w:tc>
        <w:tc>
          <w:tcPr>
            <w:tcW w:w="3393"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根据计划采购，按数量入库</w:t>
            </w:r>
          </w:p>
        </w:tc>
        <w:tc>
          <w:tcPr>
            <w:tcW w:w="1725"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药品入库单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center"/>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质量指标</w:t>
            </w:r>
          </w:p>
        </w:tc>
        <w:tc>
          <w:tcPr>
            <w:tcW w:w="2112"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药品验收合格率</w:t>
            </w:r>
          </w:p>
        </w:tc>
        <w:tc>
          <w:tcPr>
            <w:tcW w:w="3393"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药品验收是否合格</w:t>
            </w:r>
          </w:p>
        </w:tc>
        <w:tc>
          <w:tcPr>
            <w:tcW w:w="1725"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药品验收记录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center"/>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时效指标</w:t>
            </w:r>
          </w:p>
        </w:tc>
        <w:tc>
          <w:tcPr>
            <w:tcW w:w="2112"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购置药品付款及时率</w:t>
            </w:r>
          </w:p>
        </w:tc>
        <w:tc>
          <w:tcPr>
            <w:tcW w:w="3393"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付款是否及时</w:t>
            </w:r>
          </w:p>
        </w:tc>
        <w:tc>
          <w:tcPr>
            <w:tcW w:w="1725"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财务凭证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center"/>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成本指标</w:t>
            </w:r>
          </w:p>
        </w:tc>
        <w:tc>
          <w:tcPr>
            <w:tcW w:w="2112"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采购药品成本</w:t>
            </w:r>
          </w:p>
        </w:tc>
        <w:tc>
          <w:tcPr>
            <w:tcW w:w="3393"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采购药品成本</w:t>
            </w:r>
          </w:p>
        </w:tc>
        <w:tc>
          <w:tcPr>
            <w:tcW w:w="1725"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≤29500万元/年</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财务凭证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08"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社会效益指标</w:t>
            </w:r>
          </w:p>
        </w:tc>
        <w:tc>
          <w:tcPr>
            <w:tcW w:w="2112"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门诊人次增长率</w:t>
            </w:r>
          </w:p>
        </w:tc>
        <w:tc>
          <w:tcPr>
            <w:tcW w:w="3393"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门诊人次增长率</w:t>
            </w:r>
          </w:p>
        </w:tc>
        <w:tc>
          <w:tcPr>
            <w:tcW w:w="1725"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统计系统数据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lang w:eastAsia="zh-CN"/>
              </w:rPr>
              <w:t>服务对象满意度指标</w:t>
            </w:r>
          </w:p>
        </w:tc>
        <w:tc>
          <w:tcPr>
            <w:tcW w:w="2112"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患者满意度</w:t>
            </w:r>
          </w:p>
        </w:tc>
        <w:tc>
          <w:tcPr>
            <w:tcW w:w="3393"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患者满意度</w:t>
            </w:r>
          </w:p>
        </w:tc>
        <w:tc>
          <w:tcPr>
            <w:tcW w:w="1725"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≥85%</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患者回访系统、权利运行监控系统</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8</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医疗专用设备购置项目经费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23"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numPr>
                <w:ilvl w:val="0"/>
                <w:numId w:val="0"/>
              </w:numPr>
              <w:spacing w:line="300" w:lineRule="exact"/>
              <w:rPr>
                <w:rFonts w:hint="eastAsia" w:ascii="Times New Roman" w:hAnsi="Times New Roman" w:eastAsia="仿宋_GB2312" w:cs="Times New Roman"/>
                <w:b/>
              </w:rPr>
            </w:pPr>
            <w:r>
              <w:rPr>
                <w:rFonts w:hint="eastAsia" w:ascii="Times New Roman" w:hAnsi="Times New Roman" w:eastAsia="仿宋_GB2312" w:cs="Times New Roman"/>
                <w:b/>
              </w:rPr>
              <w:t>1.2021年按计划完成设备购置数量，保证设备验收合格率，保证付款及时，手续完备。</w:t>
            </w:r>
          </w:p>
          <w:p>
            <w:pPr>
              <w:numPr>
                <w:ilvl w:val="0"/>
                <w:numId w:val="0"/>
              </w:numPr>
              <w:spacing w:line="300" w:lineRule="exact"/>
              <w:rPr>
                <w:rFonts w:ascii="Times New Roman" w:hAnsi="Times New Roman" w:eastAsia="仿宋_GB2312" w:cs="Times New Roman"/>
                <w:b/>
              </w:rPr>
            </w:pPr>
            <w:r>
              <w:rPr>
                <w:rFonts w:hint="eastAsia" w:ascii="Times New Roman" w:hAnsi="Times New Roman" w:eastAsia="仿宋_GB2312" w:cs="Times New Roman"/>
                <w:b/>
              </w:rPr>
              <w:t>2.通过项目的实施，提升设备检查利用率，减轻患者痛苦，提升医疗救治水平，保障患者生命健康。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7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数量指标</w:t>
            </w:r>
          </w:p>
        </w:tc>
        <w:tc>
          <w:tcPr>
            <w:tcW w:w="1985"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设备购置数量</w:t>
            </w:r>
          </w:p>
        </w:tc>
        <w:tc>
          <w:tcPr>
            <w:tcW w:w="3402"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设备按计划购置，按数量入库</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≤100台/套</w:t>
            </w:r>
          </w:p>
        </w:tc>
        <w:tc>
          <w:tcPr>
            <w:tcW w:w="2155"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购置计划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质量指标</w:t>
            </w:r>
          </w:p>
        </w:tc>
        <w:tc>
          <w:tcPr>
            <w:tcW w:w="1985"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设备验收合格率</w:t>
            </w:r>
          </w:p>
        </w:tc>
        <w:tc>
          <w:tcPr>
            <w:tcW w:w="3402"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验收是否合格</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设备验收单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时效指标</w:t>
            </w:r>
          </w:p>
        </w:tc>
        <w:tc>
          <w:tcPr>
            <w:tcW w:w="1985"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购置设备付款及时率</w:t>
            </w:r>
          </w:p>
        </w:tc>
        <w:tc>
          <w:tcPr>
            <w:tcW w:w="3402"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付款是否及时</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财务凭证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成本指标</w:t>
            </w:r>
          </w:p>
        </w:tc>
        <w:tc>
          <w:tcPr>
            <w:tcW w:w="198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每次进口彩超机成本</w:t>
            </w:r>
          </w:p>
        </w:tc>
        <w:tc>
          <w:tcPr>
            <w:tcW w:w="3402"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每台进口彩超机成本</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≤350万元/台</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财务凭证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成本指标</w:t>
            </w:r>
          </w:p>
        </w:tc>
        <w:tc>
          <w:tcPr>
            <w:tcW w:w="198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每台进口压力蒸汽灭菌器成本</w:t>
            </w:r>
          </w:p>
        </w:tc>
        <w:tc>
          <w:tcPr>
            <w:tcW w:w="3402"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每台压力蒸汽灭菌器成本</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≤60万元/台</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财务凭证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08"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社会效益指标</w:t>
            </w:r>
          </w:p>
        </w:tc>
        <w:tc>
          <w:tcPr>
            <w:tcW w:w="198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门诊人次增长率</w:t>
            </w:r>
          </w:p>
        </w:tc>
        <w:tc>
          <w:tcPr>
            <w:tcW w:w="3402"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门诊人次增长率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统计系统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服务对象满意度指标</w:t>
            </w:r>
          </w:p>
        </w:tc>
        <w:tc>
          <w:tcPr>
            <w:tcW w:w="198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设备使用人员满意度</w:t>
            </w:r>
          </w:p>
        </w:tc>
        <w:tc>
          <w:tcPr>
            <w:tcW w:w="3402"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设备使用人员满意度</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≥85%</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患者回访系统，权利运行监控系统</w:t>
            </w:r>
          </w:p>
        </w:tc>
      </w:tr>
    </w:tbl>
    <w:p>
      <w:pPr>
        <w:autoSpaceDE w:val="0"/>
        <w:autoSpaceDN w:val="0"/>
        <w:adjustRightInd w:val="0"/>
        <w:spacing w:line="584" w:lineRule="exact"/>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7495.4</w:t>
      </w:r>
      <w:r>
        <w:rPr>
          <w:rFonts w:ascii="Times New Roman" w:hAnsi="Times New Roman" w:eastAsia="仿宋_GB2312" w:cs="Times New Roman"/>
          <w:sz w:val="32"/>
          <w:szCs w:val="24"/>
        </w:rPr>
        <w:t>万元。具体内容见下表。</w:t>
      </w:r>
      <w:bookmarkEnd w:id="1"/>
    </w:p>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8"/>
        <w:tblW w:w="1550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eastAsia="方正小标宋_GBK" w:cs="Times New Roman"/>
                <w:sz w:val="24"/>
                <w:lang w:eastAsia="zh-CN"/>
              </w:rPr>
            </w:pPr>
            <w:r>
              <w:rPr>
                <w:rFonts w:hint="eastAsia" w:ascii="方正小标宋_GBK" w:eastAsia="方正小标宋_GBK"/>
                <w:sz w:val="24"/>
                <w:lang w:val="en-US" w:eastAsia="zh-CN"/>
              </w:rPr>
              <w:t>570010</w:t>
            </w:r>
            <w:r>
              <w:rPr>
                <w:rFonts w:ascii="方正小标宋_GBK" w:eastAsia="方正小标宋_GBK" w:cs="Times New Roman"/>
                <w:sz w:val="24"/>
              </w:rPr>
              <w:t>廊坊市</w:t>
            </w:r>
            <w:r>
              <w:rPr>
                <w:rFonts w:hint="eastAsia" w:ascii="方正小标宋_GBK" w:eastAsia="方正小标宋_GBK"/>
                <w:sz w:val="24"/>
                <w:lang w:eastAsia="zh-CN"/>
              </w:rPr>
              <w:t>人民医院</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7500</w:t>
            </w: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7495.4</w:t>
            </w:r>
          </w:p>
        </w:tc>
        <w:tc>
          <w:tcPr>
            <w:tcW w:w="1134"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995.4</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6500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方正书宋_GBK" w:eastAsia="方正书宋_GBK" w:cs="Times New Roman"/>
                <w:b w:val="0"/>
                <w:bCs/>
                <w:lang w:eastAsia="zh-CN"/>
              </w:rPr>
            </w:pPr>
            <w:r>
              <w:rPr>
                <w:rFonts w:hint="eastAsia" w:ascii="方正书宋_GBK" w:eastAsia="方正书宋_GBK" w:cs="Times New Roman"/>
                <w:b w:val="0"/>
                <w:bCs/>
                <w:lang w:eastAsia="zh-CN"/>
              </w:rPr>
              <w:t>心血管内科重点学科建设资金</w:t>
            </w:r>
          </w:p>
        </w:tc>
        <w:tc>
          <w:tcPr>
            <w:tcW w:w="1134" w:type="dxa"/>
            <w:shd w:val="clear" w:color="auto" w:fill="auto"/>
            <w:vAlign w:val="center"/>
          </w:tcPr>
          <w:p>
            <w:pPr>
              <w:spacing w:line="300" w:lineRule="exact"/>
              <w:jc w:val="right"/>
              <w:rPr>
                <w:rFonts w:hint="default" w:ascii="方正书宋_GBK" w:eastAsia="方正书宋_GBK" w:cs="Times New Roman"/>
                <w:b w:val="0"/>
                <w:bCs/>
                <w:lang w:val="en-US" w:eastAsia="zh-CN"/>
              </w:rPr>
            </w:pPr>
            <w:r>
              <w:rPr>
                <w:rFonts w:hint="eastAsia" w:ascii="方正书宋_GBK" w:eastAsia="方正书宋_GBK" w:cs="Times New Roman"/>
                <w:b w:val="0"/>
                <w:bCs/>
                <w:lang w:val="en-US" w:eastAsia="zh-CN"/>
              </w:rPr>
              <w:t>280</w:t>
            </w:r>
          </w:p>
        </w:tc>
        <w:tc>
          <w:tcPr>
            <w:tcW w:w="1531" w:type="dxa"/>
            <w:shd w:val="clear" w:color="auto" w:fill="auto"/>
            <w:vAlign w:val="center"/>
          </w:tcPr>
          <w:p>
            <w:pPr>
              <w:spacing w:line="300" w:lineRule="exact"/>
              <w:jc w:val="left"/>
              <w:rPr>
                <w:rFonts w:hint="eastAsia" w:ascii="方正书宋_GBK" w:eastAsia="方正书宋_GBK" w:cs="Times New Roman"/>
                <w:b w:val="0"/>
                <w:bCs/>
                <w:lang w:eastAsia="zh-CN"/>
              </w:rPr>
            </w:pPr>
            <w:r>
              <w:rPr>
                <w:rFonts w:hint="eastAsia" w:ascii="方正书宋_GBK" w:eastAsia="方正书宋_GBK" w:cs="Times New Roman"/>
                <w:b w:val="0"/>
                <w:bCs/>
                <w:lang w:eastAsia="zh-CN"/>
              </w:rPr>
              <w:t>台式计算机</w:t>
            </w:r>
          </w:p>
        </w:tc>
        <w:tc>
          <w:tcPr>
            <w:tcW w:w="1531" w:type="dxa"/>
            <w:shd w:val="clear" w:color="auto" w:fill="auto"/>
            <w:vAlign w:val="center"/>
          </w:tcPr>
          <w:p>
            <w:pPr>
              <w:spacing w:line="300" w:lineRule="exact"/>
              <w:jc w:val="left"/>
              <w:rPr>
                <w:rFonts w:hint="default" w:ascii="方正书宋_GBK" w:eastAsia="方正书宋_GBK" w:cs="Times New Roman"/>
                <w:b w:val="0"/>
                <w:bCs/>
                <w:lang w:val="en-US" w:eastAsia="zh-CN"/>
              </w:rPr>
            </w:pPr>
            <w:r>
              <w:rPr>
                <w:rFonts w:hint="eastAsia" w:ascii="方正书宋_GBK" w:eastAsia="方正书宋_GBK" w:cs="Times New Roman"/>
                <w:b w:val="0"/>
                <w:bCs/>
                <w:lang w:val="en-US" w:eastAsia="zh-CN"/>
              </w:rPr>
              <w:t>A02010104</w:t>
            </w:r>
          </w:p>
        </w:tc>
        <w:tc>
          <w:tcPr>
            <w:tcW w:w="709" w:type="dxa"/>
            <w:shd w:val="clear" w:color="auto" w:fill="auto"/>
            <w:vAlign w:val="center"/>
          </w:tcPr>
          <w:p>
            <w:pPr>
              <w:spacing w:line="300" w:lineRule="exact"/>
              <w:jc w:val="center"/>
              <w:rPr>
                <w:rFonts w:hint="default" w:ascii="方正书宋_GBK" w:eastAsia="方正书宋_GBK" w:cs="Times New Roman"/>
                <w:b w:val="0"/>
                <w:bCs/>
                <w:lang w:val="en-US" w:eastAsia="zh-CN"/>
              </w:rPr>
            </w:pPr>
            <w:r>
              <w:rPr>
                <w:rFonts w:hint="eastAsia" w:ascii="方正书宋_GBK" w:eastAsia="方正书宋_GBK" w:cs="Times New Roman"/>
                <w:b w:val="0"/>
                <w:bCs/>
                <w:lang w:val="en-US" w:eastAsia="zh-CN"/>
              </w:rPr>
              <w:t>台</w:t>
            </w:r>
          </w:p>
        </w:tc>
        <w:tc>
          <w:tcPr>
            <w:tcW w:w="907" w:type="dxa"/>
            <w:shd w:val="clear" w:color="auto" w:fill="auto"/>
            <w:vAlign w:val="center"/>
          </w:tcPr>
          <w:p>
            <w:pPr>
              <w:spacing w:line="300" w:lineRule="exact"/>
              <w:jc w:val="right"/>
              <w:rPr>
                <w:rFonts w:hint="eastAsia" w:ascii="方正书宋_GBK" w:eastAsia="方正书宋_GBK" w:cs="Times New Roman"/>
                <w:b w:val="0"/>
                <w:bCs/>
                <w:lang w:val="en-US" w:eastAsia="zh-CN"/>
              </w:rPr>
            </w:pPr>
            <w:r>
              <w:rPr>
                <w:rFonts w:hint="eastAsia" w:ascii="方正书宋_GBK" w:eastAsia="方正书宋_GBK" w:cs="Times New Roman"/>
                <w:b w:val="0"/>
                <w:bCs/>
                <w:lang w:val="en-US" w:eastAsia="zh-CN"/>
              </w:rPr>
              <w:t>1</w:t>
            </w:r>
          </w:p>
        </w:tc>
        <w:tc>
          <w:tcPr>
            <w:tcW w:w="907" w:type="dxa"/>
            <w:shd w:val="clear" w:color="auto" w:fill="auto"/>
            <w:vAlign w:val="center"/>
          </w:tcPr>
          <w:p>
            <w:pPr>
              <w:spacing w:line="300" w:lineRule="exact"/>
              <w:jc w:val="right"/>
              <w:rPr>
                <w:rFonts w:hint="default" w:ascii="方正书宋_GBK" w:eastAsia="方正书宋_GBK" w:cs="Times New Roman"/>
                <w:b w:val="0"/>
                <w:bCs/>
                <w:lang w:val="en-US" w:eastAsia="zh-CN"/>
              </w:rPr>
            </w:pPr>
            <w:r>
              <w:rPr>
                <w:rFonts w:hint="eastAsia" w:ascii="方正书宋_GBK" w:eastAsia="方正书宋_GBK" w:cs="Times New Roman"/>
                <w:b w:val="0"/>
                <w:bCs/>
                <w:lang w:val="en-US" w:eastAsia="zh-CN"/>
              </w:rPr>
              <w:t>10.6</w:t>
            </w:r>
          </w:p>
        </w:tc>
        <w:tc>
          <w:tcPr>
            <w:tcW w:w="1134" w:type="dxa"/>
            <w:shd w:val="clear" w:color="auto" w:fill="auto"/>
            <w:vAlign w:val="center"/>
          </w:tcPr>
          <w:p>
            <w:pPr>
              <w:spacing w:line="300" w:lineRule="exact"/>
              <w:jc w:val="right"/>
              <w:rPr>
                <w:rFonts w:hint="default" w:ascii="方正书宋_GBK" w:hAnsi="Calibri" w:eastAsia="方正书宋_GBK" w:cs="Times New Roman"/>
                <w:b w:val="0"/>
                <w:bCs/>
                <w:kern w:val="2"/>
                <w:sz w:val="21"/>
                <w:szCs w:val="22"/>
                <w:lang w:val="en-US" w:eastAsia="zh-CN" w:bidi="ar-SA"/>
              </w:rPr>
            </w:pPr>
            <w:r>
              <w:rPr>
                <w:rFonts w:hint="eastAsia" w:ascii="方正书宋_GBK" w:eastAsia="方正书宋_GBK" w:cs="Times New Roman"/>
                <w:b w:val="0"/>
                <w:bCs/>
                <w:lang w:val="en-US" w:eastAsia="zh-CN"/>
              </w:rPr>
              <w:t>10.6</w:t>
            </w:r>
          </w:p>
        </w:tc>
        <w:tc>
          <w:tcPr>
            <w:tcW w:w="1134" w:type="dxa"/>
            <w:shd w:val="clear" w:color="auto" w:fill="auto"/>
            <w:vAlign w:val="center"/>
          </w:tcPr>
          <w:p>
            <w:pPr>
              <w:spacing w:line="300" w:lineRule="exact"/>
              <w:jc w:val="right"/>
              <w:rPr>
                <w:rFonts w:hint="default" w:ascii="方正书宋_GBK" w:hAnsi="Calibri" w:eastAsia="方正书宋_GBK" w:cs="Times New Roman"/>
                <w:b w:val="0"/>
                <w:bCs/>
                <w:kern w:val="2"/>
                <w:sz w:val="21"/>
                <w:szCs w:val="22"/>
                <w:lang w:val="en-US" w:eastAsia="zh-CN" w:bidi="ar-SA"/>
              </w:rPr>
            </w:pPr>
            <w:r>
              <w:rPr>
                <w:rFonts w:hint="eastAsia" w:ascii="方正书宋_GBK" w:eastAsia="方正书宋_GBK" w:cs="Times New Roman"/>
                <w:b w:val="0"/>
                <w:bCs/>
                <w:lang w:val="en-US" w:eastAsia="zh-CN"/>
              </w:rPr>
              <w:t>10.6</w:t>
            </w:r>
          </w:p>
        </w:tc>
        <w:tc>
          <w:tcPr>
            <w:tcW w:w="1134" w:type="dxa"/>
            <w:shd w:val="clear" w:color="auto" w:fill="auto"/>
            <w:vAlign w:val="center"/>
          </w:tcPr>
          <w:p>
            <w:pPr>
              <w:spacing w:line="300" w:lineRule="exact"/>
              <w:jc w:val="right"/>
              <w:rPr>
                <w:rFonts w:ascii="方正书宋_GBK" w:eastAsia="方正书宋_GBK" w:cs="Times New Roman"/>
                <w:b w:val="0"/>
                <w:bCs/>
              </w:rPr>
            </w:pPr>
          </w:p>
        </w:tc>
        <w:tc>
          <w:tcPr>
            <w:tcW w:w="1134" w:type="dxa"/>
            <w:shd w:val="clear" w:color="auto" w:fill="auto"/>
            <w:vAlign w:val="center"/>
          </w:tcPr>
          <w:p>
            <w:pPr>
              <w:spacing w:line="300" w:lineRule="exact"/>
              <w:jc w:val="right"/>
              <w:rPr>
                <w:rFonts w:ascii="方正书宋_GBK" w:eastAsia="方正书宋_GBK" w:cs="Times New Roman"/>
                <w:b w:val="0"/>
                <w:bCs/>
              </w:rPr>
            </w:pPr>
          </w:p>
        </w:tc>
        <w:tc>
          <w:tcPr>
            <w:tcW w:w="1134" w:type="dxa"/>
            <w:shd w:val="clear" w:color="auto" w:fill="auto"/>
            <w:vAlign w:val="center"/>
          </w:tcPr>
          <w:p>
            <w:pPr>
              <w:spacing w:line="300" w:lineRule="exact"/>
              <w:jc w:val="right"/>
              <w:rPr>
                <w:rFonts w:ascii="方正书宋_GBK" w:eastAsia="方正书宋_GBK" w:cs="Times New Roman"/>
                <w:b w:val="0"/>
                <w:bCs/>
              </w:rPr>
            </w:pPr>
          </w:p>
        </w:tc>
        <w:tc>
          <w:tcPr>
            <w:tcW w:w="1134" w:type="dxa"/>
            <w:shd w:val="clear" w:color="auto" w:fill="auto"/>
            <w:vAlign w:val="center"/>
          </w:tcPr>
          <w:p>
            <w:pPr>
              <w:spacing w:line="300" w:lineRule="exact"/>
              <w:jc w:val="right"/>
              <w:rPr>
                <w:rFonts w:ascii="方正书宋_GBK" w:eastAsia="方正书宋_GBK" w:cs="Times New Roman"/>
                <w:b w:val="0"/>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62" w:hRule="atLeast"/>
          <w:jc w:val="center"/>
        </w:trPr>
        <w:tc>
          <w:tcPr>
            <w:tcW w:w="1984" w:type="dxa"/>
            <w:shd w:val="clear" w:color="auto" w:fill="auto"/>
            <w:vAlign w:val="center"/>
          </w:tcPr>
          <w:p>
            <w:pPr>
              <w:spacing w:line="300" w:lineRule="exact"/>
              <w:jc w:val="left"/>
              <w:rPr>
                <w:rFonts w:ascii="方正书宋_GBK" w:eastAsia="方正书宋_GBK" w:cs="Times New Roman"/>
                <w:b w:val="0"/>
                <w:bCs/>
              </w:rPr>
            </w:pPr>
            <w:r>
              <w:rPr>
                <w:rFonts w:hint="eastAsia" w:ascii="方正书宋_GBK" w:eastAsia="方正书宋_GBK" w:cs="Times New Roman"/>
                <w:b w:val="0"/>
                <w:bCs/>
                <w:lang w:eastAsia="zh-CN"/>
              </w:rPr>
              <w:t>心血管内科重点学科建设资金</w:t>
            </w:r>
          </w:p>
        </w:tc>
        <w:tc>
          <w:tcPr>
            <w:tcW w:w="1134" w:type="dxa"/>
            <w:shd w:val="clear" w:color="auto" w:fill="auto"/>
            <w:vAlign w:val="center"/>
          </w:tcPr>
          <w:p>
            <w:pPr>
              <w:spacing w:line="300" w:lineRule="exact"/>
              <w:jc w:val="right"/>
              <w:rPr>
                <w:rFonts w:hint="default" w:ascii="方正书宋_GBK" w:eastAsia="方正书宋_GBK" w:cs="Times New Roman"/>
                <w:b w:val="0"/>
                <w:bCs/>
                <w:lang w:val="en-US" w:eastAsia="zh-CN"/>
              </w:rPr>
            </w:pPr>
            <w:r>
              <w:rPr>
                <w:rFonts w:hint="eastAsia" w:ascii="方正书宋_GBK" w:eastAsia="方正书宋_GBK" w:cs="Times New Roman"/>
                <w:b w:val="0"/>
                <w:bCs/>
                <w:lang w:val="en-US" w:eastAsia="zh-CN"/>
              </w:rPr>
              <w:t>280</w:t>
            </w:r>
          </w:p>
        </w:tc>
        <w:tc>
          <w:tcPr>
            <w:tcW w:w="1531" w:type="dxa"/>
            <w:shd w:val="clear" w:color="auto" w:fill="auto"/>
            <w:vAlign w:val="center"/>
          </w:tcPr>
          <w:p>
            <w:pPr>
              <w:spacing w:line="300" w:lineRule="exact"/>
              <w:jc w:val="left"/>
              <w:rPr>
                <w:rFonts w:hint="eastAsia" w:ascii="方正书宋_GBK" w:eastAsia="方正书宋_GBK" w:cs="Times New Roman"/>
                <w:b w:val="0"/>
                <w:bCs/>
                <w:lang w:eastAsia="zh-CN"/>
              </w:rPr>
            </w:pPr>
            <w:r>
              <w:rPr>
                <w:rFonts w:hint="eastAsia" w:ascii="方正书宋_GBK" w:eastAsia="方正书宋_GBK" w:cs="Times New Roman"/>
                <w:b w:val="0"/>
                <w:bCs/>
                <w:lang w:eastAsia="zh-CN"/>
              </w:rPr>
              <w:t>其他医疗设备</w:t>
            </w:r>
          </w:p>
        </w:tc>
        <w:tc>
          <w:tcPr>
            <w:tcW w:w="1531" w:type="dxa"/>
            <w:shd w:val="clear" w:color="auto" w:fill="auto"/>
            <w:vAlign w:val="center"/>
          </w:tcPr>
          <w:p>
            <w:pPr>
              <w:spacing w:line="300" w:lineRule="exact"/>
              <w:jc w:val="left"/>
              <w:rPr>
                <w:rFonts w:hint="default" w:ascii="方正书宋_GBK" w:eastAsia="方正书宋_GBK" w:cs="Times New Roman"/>
                <w:b w:val="0"/>
                <w:bCs/>
                <w:lang w:val="en-US" w:eastAsia="zh-CN"/>
              </w:rPr>
            </w:pPr>
            <w:r>
              <w:rPr>
                <w:rFonts w:hint="eastAsia" w:ascii="方正书宋_GBK" w:eastAsia="方正书宋_GBK" w:cs="Times New Roman"/>
                <w:b w:val="0"/>
                <w:bCs/>
                <w:lang w:val="en-US" w:eastAsia="zh-CN"/>
              </w:rPr>
              <w:t>A032099</w:t>
            </w:r>
          </w:p>
        </w:tc>
        <w:tc>
          <w:tcPr>
            <w:tcW w:w="709" w:type="dxa"/>
            <w:shd w:val="clear" w:color="auto" w:fill="auto"/>
            <w:vAlign w:val="center"/>
          </w:tcPr>
          <w:p>
            <w:pPr>
              <w:spacing w:line="300" w:lineRule="exact"/>
              <w:jc w:val="center"/>
              <w:rPr>
                <w:rFonts w:hint="eastAsia" w:ascii="方正书宋_GBK" w:eastAsia="方正书宋_GBK" w:cs="Times New Roman"/>
                <w:b w:val="0"/>
                <w:bCs/>
                <w:lang w:eastAsia="zh-CN"/>
              </w:rPr>
            </w:pPr>
            <w:r>
              <w:rPr>
                <w:rFonts w:hint="eastAsia" w:ascii="方正书宋_GBK" w:eastAsia="方正书宋_GBK" w:cs="Times New Roman"/>
                <w:b w:val="0"/>
                <w:bCs/>
                <w:lang w:eastAsia="zh-CN"/>
              </w:rPr>
              <w:t>台</w:t>
            </w:r>
          </w:p>
        </w:tc>
        <w:tc>
          <w:tcPr>
            <w:tcW w:w="907" w:type="dxa"/>
            <w:shd w:val="clear" w:color="auto" w:fill="auto"/>
            <w:vAlign w:val="center"/>
          </w:tcPr>
          <w:p>
            <w:pPr>
              <w:spacing w:line="300" w:lineRule="exact"/>
              <w:jc w:val="right"/>
              <w:rPr>
                <w:rFonts w:hint="eastAsia" w:ascii="方正书宋_GBK" w:eastAsia="方正书宋_GBK" w:cs="Times New Roman"/>
                <w:b w:val="0"/>
                <w:bCs/>
                <w:lang w:val="en-US" w:eastAsia="zh-CN"/>
              </w:rPr>
            </w:pPr>
            <w:r>
              <w:rPr>
                <w:rFonts w:hint="eastAsia" w:ascii="方正书宋_GBK" w:eastAsia="方正书宋_GBK" w:cs="Times New Roman"/>
                <w:b w:val="0"/>
                <w:bCs/>
                <w:lang w:val="en-US" w:eastAsia="zh-CN"/>
              </w:rPr>
              <w:t>1</w:t>
            </w:r>
          </w:p>
        </w:tc>
        <w:tc>
          <w:tcPr>
            <w:tcW w:w="907" w:type="dxa"/>
            <w:shd w:val="clear" w:color="auto" w:fill="auto"/>
            <w:vAlign w:val="center"/>
          </w:tcPr>
          <w:p>
            <w:pPr>
              <w:spacing w:line="300" w:lineRule="exact"/>
              <w:jc w:val="right"/>
              <w:rPr>
                <w:rFonts w:hint="default" w:ascii="方正书宋_GBK" w:eastAsia="方正书宋_GBK" w:cs="Times New Roman"/>
                <w:b w:val="0"/>
                <w:bCs/>
                <w:lang w:val="en-US" w:eastAsia="zh-CN"/>
              </w:rPr>
            </w:pPr>
            <w:r>
              <w:rPr>
                <w:rFonts w:hint="eastAsia" w:ascii="方正书宋_GBK" w:eastAsia="方正书宋_GBK" w:cs="Times New Roman"/>
                <w:b w:val="0"/>
                <w:bCs/>
                <w:lang w:val="en-US" w:eastAsia="zh-CN"/>
              </w:rPr>
              <w:t>264.8</w:t>
            </w:r>
          </w:p>
        </w:tc>
        <w:tc>
          <w:tcPr>
            <w:tcW w:w="1134" w:type="dxa"/>
            <w:shd w:val="clear" w:color="auto" w:fill="auto"/>
            <w:vAlign w:val="center"/>
          </w:tcPr>
          <w:p>
            <w:pPr>
              <w:spacing w:line="300" w:lineRule="exact"/>
              <w:jc w:val="right"/>
              <w:rPr>
                <w:rFonts w:hint="default" w:ascii="方正书宋_GBK" w:hAnsi="Calibri" w:eastAsia="方正书宋_GBK" w:cs="Times New Roman"/>
                <w:b w:val="0"/>
                <w:bCs/>
                <w:kern w:val="2"/>
                <w:sz w:val="21"/>
                <w:szCs w:val="22"/>
                <w:lang w:val="en-US" w:eastAsia="zh-CN" w:bidi="ar-SA"/>
              </w:rPr>
            </w:pPr>
            <w:r>
              <w:rPr>
                <w:rFonts w:hint="eastAsia" w:ascii="方正书宋_GBK" w:eastAsia="方正书宋_GBK" w:cs="Times New Roman"/>
                <w:b w:val="0"/>
                <w:bCs/>
                <w:lang w:val="en-US" w:eastAsia="zh-CN"/>
              </w:rPr>
              <w:t>264.8</w:t>
            </w:r>
          </w:p>
        </w:tc>
        <w:tc>
          <w:tcPr>
            <w:tcW w:w="1134" w:type="dxa"/>
            <w:shd w:val="clear" w:color="auto" w:fill="auto"/>
            <w:vAlign w:val="center"/>
          </w:tcPr>
          <w:p>
            <w:pPr>
              <w:spacing w:line="300" w:lineRule="exact"/>
              <w:jc w:val="right"/>
              <w:rPr>
                <w:rFonts w:hint="default" w:ascii="方正书宋_GBK" w:hAnsi="Calibri" w:eastAsia="方正书宋_GBK" w:cs="Times New Roman"/>
                <w:b w:val="0"/>
                <w:bCs/>
                <w:kern w:val="2"/>
                <w:sz w:val="21"/>
                <w:szCs w:val="22"/>
                <w:lang w:val="en-US" w:eastAsia="zh-CN" w:bidi="ar-SA"/>
              </w:rPr>
            </w:pPr>
            <w:r>
              <w:rPr>
                <w:rFonts w:hint="eastAsia" w:ascii="方正书宋_GBK" w:eastAsia="方正书宋_GBK" w:cs="Times New Roman"/>
                <w:b w:val="0"/>
                <w:bCs/>
                <w:lang w:val="en-US" w:eastAsia="zh-CN"/>
              </w:rPr>
              <w:t>264.8</w:t>
            </w:r>
          </w:p>
        </w:tc>
        <w:tc>
          <w:tcPr>
            <w:tcW w:w="1134" w:type="dxa"/>
            <w:shd w:val="clear" w:color="auto" w:fill="auto"/>
            <w:vAlign w:val="center"/>
          </w:tcPr>
          <w:p>
            <w:pPr>
              <w:spacing w:line="300" w:lineRule="exact"/>
              <w:jc w:val="right"/>
              <w:rPr>
                <w:rFonts w:ascii="方正书宋_GBK" w:eastAsia="方正书宋_GBK" w:cs="Times New Roman"/>
                <w:b w:val="0"/>
                <w:bCs/>
              </w:rPr>
            </w:pPr>
          </w:p>
        </w:tc>
        <w:tc>
          <w:tcPr>
            <w:tcW w:w="1134" w:type="dxa"/>
            <w:shd w:val="clear" w:color="auto" w:fill="auto"/>
            <w:vAlign w:val="center"/>
          </w:tcPr>
          <w:p>
            <w:pPr>
              <w:spacing w:line="300" w:lineRule="exact"/>
              <w:jc w:val="right"/>
              <w:rPr>
                <w:rFonts w:ascii="方正书宋_GBK" w:eastAsia="方正书宋_GBK" w:cs="Times New Roman"/>
                <w:b w:val="0"/>
                <w:bCs/>
              </w:rPr>
            </w:pPr>
          </w:p>
        </w:tc>
        <w:tc>
          <w:tcPr>
            <w:tcW w:w="1134" w:type="dxa"/>
            <w:shd w:val="clear" w:color="auto" w:fill="auto"/>
            <w:vAlign w:val="center"/>
          </w:tcPr>
          <w:p>
            <w:pPr>
              <w:spacing w:line="300" w:lineRule="exact"/>
              <w:jc w:val="right"/>
              <w:rPr>
                <w:rFonts w:ascii="方正书宋_GBK" w:eastAsia="方正书宋_GBK" w:cs="Times New Roman"/>
                <w:b w:val="0"/>
                <w:bCs/>
              </w:rPr>
            </w:pPr>
          </w:p>
        </w:tc>
        <w:tc>
          <w:tcPr>
            <w:tcW w:w="1134" w:type="dxa"/>
            <w:shd w:val="clear" w:color="auto" w:fill="auto"/>
            <w:vAlign w:val="center"/>
          </w:tcPr>
          <w:p>
            <w:pPr>
              <w:spacing w:line="300" w:lineRule="exact"/>
              <w:jc w:val="right"/>
              <w:rPr>
                <w:rFonts w:ascii="方正书宋_GBK" w:eastAsia="方正书宋_GBK" w:cs="Times New Roman"/>
                <w:b w:val="0"/>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cs="Times New Roman"/>
                <w:b w:val="0"/>
                <w:bCs/>
                <w:lang w:eastAsia="zh-CN"/>
              </w:rPr>
            </w:pPr>
            <w:r>
              <w:rPr>
                <w:rFonts w:hint="eastAsia" w:ascii="方正书宋_GBK" w:eastAsia="方正书宋_GBK" w:cs="Times New Roman"/>
                <w:b w:val="0"/>
                <w:bCs/>
                <w:lang w:eastAsia="zh-CN"/>
              </w:rPr>
              <w:t>医疗设备血管造影机购置资金</w:t>
            </w:r>
          </w:p>
        </w:tc>
        <w:tc>
          <w:tcPr>
            <w:tcW w:w="1134" w:type="dxa"/>
            <w:shd w:val="clear" w:color="auto" w:fill="auto"/>
            <w:vAlign w:val="center"/>
          </w:tcPr>
          <w:p>
            <w:pPr>
              <w:spacing w:line="300" w:lineRule="exact"/>
              <w:jc w:val="right"/>
              <w:rPr>
                <w:rFonts w:hint="default" w:ascii="方正书宋_GBK" w:eastAsia="方正书宋_GBK" w:cs="Times New Roman"/>
                <w:b w:val="0"/>
                <w:bCs/>
                <w:lang w:val="en-US" w:eastAsia="zh-CN"/>
              </w:rPr>
            </w:pPr>
            <w:r>
              <w:rPr>
                <w:rFonts w:hint="eastAsia" w:ascii="方正书宋_GBK" w:eastAsia="方正书宋_GBK" w:cs="Times New Roman"/>
                <w:b w:val="0"/>
                <w:bCs/>
                <w:lang w:val="en-US" w:eastAsia="zh-CN"/>
              </w:rPr>
              <w:t>720</w:t>
            </w:r>
          </w:p>
        </w:tc>
        <w:tc>
          <w:tcPr>
            <w:tcW w:w="1531" w:type="dxa"/>
            <w:shd w:val="clear" w:color="auto" w:fill="auto"/>
            <w:vAlign w:val="center"/>
          </w:tcPr>
          <w:p>
            <w:pPr>
              <w:spacing w:line="300" w:lineRule="exact"/>
              <w:jc w:val="left"/>
              <w:rPr>
                <w:rFonts w:hint="default" w:ascii="方正书宋_GBK" w:eastAsia="方正书宋_GBK" w:cs="Times New Roman"/>
                <w:b w:val="0"/>
                <w:bCs/>
                <w:lang w:val="en-US" w:eastAsia="zh-CN"/>
              </w:rPr>
            </w:pPr>
            <w:r>
              <w:rPr>
                <w:rFonts w:hint="eastAsia" w:ascii="方正书宋_GBK" w:eastAsia="方正书宋_GBK" w:cs="Times New Roman"/>
                <w:b w:val="0"/>
                <w:bCs/>
                <w:lang w:eastAsia="zh-CN"/>
              </w:rPr>
              <w:t>医用</w:t>
            </w:r>
            <w:r>
              <w:rPr>
                <w:rFonts w:hint="eastAsia" w:ascii="方正书宋_GBK" w:eastAsia="方正书宋_GBK" w:cs="Times New Roman"/>
                <w:b w:val="0"/>
                <w:bCs/>
                <w:lang w:val="en-US" w:eastAsia="zh-CN"/>
              </w:rPr>
              <w:t>X线设备</w:t>
            </w:r>
          </w:p>
        </w:tc>
        <w:tc>
          <w:tcPr>
            <w:tcW w:w="1531" w:type="dxa"/>
            <w:shd w:val="clear" w:color="auto" w:fill="auto"/>
            <w:vAlign w:val="center"/>
          </w:tcPr>
          <w:p>
            <w:pPr>
              <w:spacing w:line="300" w:lineRule="exact"/>
              <w:jc w:val="left"/>
              <w:rPr>
                <w:rFonts w:hint="default" w:ascii="方正书宋_GBK" w:eastAsia="方正书宋_GBK" w:cs="Times New Roman"/>
                <w:b w:val="0"/>
                <w:bCs/>
                <w:lang w:val="en-US" w:eastAsia="zh-CN"/>
              </w:rPr>
            </w:pPr>
            <w:r>
              <w:rPr>
                <w:rFonts w:hint="eastAsia" w:ascii="方正书宋_GBK" w:eastAsia="方正书宋_GBK" w:cs="Times New Roman"/>
                <w:b w:val="0"/>
                <w:bCs/>
                <w:lang w:val="en-US" w:eastAsia="zh-CN"/>
              </w:rPr>
              <w:t>A032011</w:t>
            </w:r>
          </w:p>
        </w:tc>
        <w:tc>
          <w:tcPr>
            <w:tcW w:w="709" w:type="dxa"/>
            <w:shd w:val="clear" w:color="auto" w:fill="auto"/>
            <w:vAlign w:val="center"/>
          </w:tcPr>
          <w:p>
            <w:pPr>
              <w:spacing w:line="300" w:lineRule="exact"/>
              <w:jc w:val="center"/>
              <w:rPr>
                <w:rFonts w:hint="eastAsia" w:ascii="方正书宋_GBK" w:eastAsia="方正书宋_GBK" w:cs="Times New Roman"/>
                <w:b w:val="0"/>
                <w:bCs/>
                <w:lang w:eastAsia="zh-CN"/>
              </w:rPr>
            </w:pPr>
            <w:r>
              <w:rPr>
                <w:rFonts w:hint="eastAsia" w:ascii="方正书宋_GBK" w:eastAsia="方正书宋_GBK" w:cs="Times New Roman"/>
                <w:b w:val="0"/>
                <w:bCs/>
                <w:lang w:eastAsia="zh-CN"/>
              </w:rPr>
              <w:t>台</w:t>
            </w:r>
          </w:p>
        </w:tc>
        <w:tc>
          <w:tcPr>
            <w:tcW w:w="907" w:type="dxa"/>
            <w:shd w:val="clear" w:color="auto" w:fill="auto"/>
            <w:vAlign w:val="center"/>
          </w:tcPr>
          <w:p>
            <w:pPr>
              <w:spacing w:line="300" w:lineRule="exact"/>
              <w:jc w:val="right"/>
              <w:rPr>
                <w:rFonts w:hint="eastAsia" w:ascii="方正书宋_GBK" w:eastAsia="方正书宋_GBK" w:cs="Times New Roman"/>
                <w:b w:val="0"/>
                <w:bCs/>
                <w:lang w:val="en-US" w:eastAsia="zh-CN"/>
              </w:rPr>
            </w:pPr>
            <w:r>
              <w:rPr>
                <w:rFonts w:hint="eastAsia" w:ascii="方正书宋_GBK" w:eastAsia="方正书宋_GBK" w:cs="Times New Roman"/>
                <w:b w:val="0"/>
                <w:bCs/>
                <w:lang w:val="en-US" w:eastAsia="zh-CN"/>
              </w:rPr>
              <w:t>1</w:t>
            </w:r>
          </w:p>
        </w:tc>
        <w:tc>
          <w:tcPr>
            <w:tcW w:w="907" w:type="dxa"/>
            <w:shd w:val="clear" w:color="auto" w:fill="auto"/>
            <w:vAlign w:val="center"/>
          </w:tcPr>
          <w:p>
            <w:pPr>
              <w:spacing w:line="300" w:lineRule="exact"/>
              <w:jc w:val="right"/>
              <w:rPr>
                <w:rFonts w:hint="default" w:ascii="方正书宋_GBK" w:eastAsia="方正书宋_GBK" w:cs="Times New Roman"/>
                <w:b w:val="0"/>
                <w:bCs/>
                <w:lang w:val="en-US" w:eastAsia="zh-CN"/>
              </w:rPr>
            </w:pPr>
            <w:r>
              <w:rPr>
                <w:rFonts w:hint="eastAsia" w:ascii="方正书宋_GBK" w:eastAsia="方正书宋_GBK" w:cs="Times New Roman"/>
                <w:b w:val="0"/>
                <w:bCs/>
                <w:lang w:val="en-US" w:eastAsia="zh-CN"/>
              </w:rPr>
              <w:t>720</w:t>
            </w:r>
          </w:p>
        </w:tc>
        <w:tc>
          <w:tcPr>
            <w:tcW w:w="1134" w:type="dxa"/>
            <w:shd w:val="clear" w:color="auto" w:fill="auto"/>
            <w:vAlign w:val="center"/>
          </w:tcPr>
          <w:p>
            <w:pPr>
              <w:spacing w:line="300" w:lineRule="exact"/>
              <w:jc w:val="right"/>
              <w:rPr>
                <w:rFonts w:hint="default" w:ascii="方正书宋_GBK" w:hAnsi="Calibri" w:eastAsia="方正书宋_GBK" w:cs="Times New Roman"/>
                <w:b w:val="0"/>
                <w:bCs/>
                <w:kern w:val="2"/>
                <w:sz w:val="21"/>
                <w:szCs w:val="22"/>
                <w:lang w:val="en-US" w:eastAsia="zh-CN" w:bidi="ar-SA"/>
              </w:rPr>
            </w:pPr>
            <w:r>
              <w:rPr>
                <w:rFonts w:hint="eastAsia" w:ascii="方正书宋_GBK" w:eastAsia="方正书宋_GBK" w:cs="Times New Roman"/>
                <w:b w:val="0"/>
                <w:bCs/>
                <w:lang w:val="en-US" w:eastAsia="zh-CN"/>
              </w:rPr>
              <w:t>720</w:t>
            </w:r>
          </w:p>
        </w:tc>
        <w:tc>
          <w:tcPr>
            <w:tcW w:w="1134" w:type="dxa"/>
            <w:shd w:val="clear" w:color="auto" w:fill="auto"/>
            <w:vAlign w:val="center"/>
          </w:tcPr>
          <w:p>
            <w:pPr>
              <w:spacing w:line="300" w:lineRule="exact"/>
              <w:jc w:val="right"/>
              <w:rPr>
                <w:rFonts w:hint="default" w:ascii="方正书宋_GBK" w:hAnsi="Calibri" w:eastAsia="方正书宋_GBK" w:cs="Times New Roman"/>
                <w:b w:val="0"/>
                <w:bCs/>
                <w:kern w:val="2"/>
                <w:sz w:val="21"/>
                <w:szCs w:val="22"/>
                <w:lang w:val="en-US" w:eastAsia="zh-CN" w:bidi="ar-SA"/>
              </w:rPr>
            </w:pPr>
            <w:r>
              <w:rPr>
                <w:rFonts w:hint="eastAsia" w:ascii="方正书宋_GBK" w:eastAsia="方正书宋_GBK" w:cs="Times New Roman"/>
                <w:b w:val="0"/>
                <w:bCs/>
                <w:lang w:val="en-US" w:eastAsia="zh-CN"/>
              </w:rPr>
              <w:t>720</w:t>
            </w:r>
          </w:p>
        </w:tc>
        <w:tc>
          <w:tcPr>
            <w:tcW w:w="1134" w:type="dxa"/>
            <w:shd w:val="clear" w:color="auto" w:fill="auto"/>
            <w:vAlign w:val="center"/>
          </w:tcPr>
          <w:p>
            <w:pPr>
              <w:spacing w:line="300" w:lineRule="exact"/>
              <w:jc w:val="right"/>
              <w:rPr>
                <w:rFonts w:ascii="方正书宋_GBK" w:eastAsia="方正书宋_GBK" w:cs="Times New Roman"/>
                <w:b w:val="0"/>
                <w:bCs/>
              </w:rPr>
            </w:pPr>
          </w:p>
        </w:tc>
        <w:tc>
          <w:tcPr>
            <w:tcW w:w="1134" w:type="dxa"/>
            <w:shd w:val="clear" w:color="auto" w:fill="auto"/>
            <w:vAlign w:val="center"/>
          </w:tcPr>
          <w:p>
            <w:pPr>
              <w:spacing w:line="300" w:lineRule="exact"/>
              <w:jc w:val="right"/>
              <w:rPr>
                <w:rFonts w:ascii="方正书宋_GBK" w:eastAsia="方正书宋_GBK" w:cs="Times New Roman"/>
                <w:b w:val="0"/>
                <w:bCs/>
              </w:rPr>
            </w:pPr>
          </w:p>
        </w:tc>
        <w:tc>
          <w:tcPr>
            <w:tcW w:w="1134" w:type="dxa"/>
            <w:shd w:val="clear" w:color="auto" w:fill="auto"/>
            <w:vAlign w:val="center"/>
          </w:tcPr>
          <w:p>
            <w:pPr>
              <w:spacing w:line="300" w:lineRule="exact"/>
              <w:jc w:val="right"/>
              <w:rPr>
                <w:rFonts w:ascii="方正书宋_GBK" w:eastAsia="方正书宋_GBK" w:cs="Times New Roman"/>
                <w:b w:val="0"/>
                <w:bCs/>
              </w:rPr>
            </w:pPr>
          </w:p>
        </w:tc>
        <w:tc>
          <w:tcPr>
            <w:tcW w:w="1134" w:type="dxa"/>
            <w:shd w:val="clear" w:color="auto" w:fill="auto"/>
            <w:vAlign w:val="center"/>
          </w:tcPr>
          <w:p>
            <w:pPr>
              <w:spacing w:line="300" w:lineRule="exact"/>
              <w:jc w:val="right"/>
              <w:rPr>
                <w:rFonts w:ascii="方正书宋_GBK" w:eastAsia="方正书宋_GBK" w:cs="Times New Roman"/>
                <w:b w:val="0"/>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cs="Times New Roman"/>
                <w:b w:val="0"/>
                <w:bCs/>
                <w:lang w:eastAsia="zh-CN"/>
              </w:rPr>
            </w:pPr>
            <w:r>
              <w:rPr>
                <w:rFonts w:hint="eastAsia" w:ascii="方正书宋_GBK" w:eastAsia="方正书宋_GBK" w:cs="Times New Roman"/>
                <w:b w:val="0"/>
                <w:bCs/>
                <w:lang w:eastAsia="zh-CN"/>
              </w:rPr>
              <w:t>医疗专用设备购置项目经费</w:t>
            </w:r>
          </w:p>
        </w:tc>
        <w:tc>
          <w:tcPr>
            <w:tcW w:w="1134" w:type="dxa"/>
            <w:shd w:val="clear" w:color="auto" w:fill="auto"/>
            <w:vAlign w:val="center"/>
          </w:tcPr>
          <w:p>
            <w:pPr>
              <w:spacing w:line="300" w:lineRule="exact"/>
              <w:jc w:val="right"/>
              <w:rPr>
                <w:rFonts w:hint="default" w:ascii="方正书宋_GBK" w:eastAsia="方正书宋_GBK" w:cs="Times New Roman"/>
                <w:b w:val="0"/>
                <w:bCs/>
                <w:lang w:val="en-US" w:eastAsia="zh-CN"/>
              </w:rPr>
            </w:pPr>
            <w:r>
              <w:rPr>
                <w:rFonts w:hint="eastAsia" w:ascii="方正书宋_GBK" w:eastAsia="方正书宋_GBK" w:cs="Times New Roman"/>
                <w:b w:val="0"/>
                <w:bCs/>
                <w:lang w:val="en-US" w:eastAsia="zh-CN"/>
              </w:rPr>
              <w:t>6500</w:t>
            </w:r>
          </w:p>
        </w:tc>
        <w:tc>
          <w:tcPr>
            <w:tcW w:w="1531" w:type="dxa"/>
            <w:shd w:val="clear" w:color="auto" w:fill="auto"/>
            <w:vAlign w:val="center"/>
          </w:tcPr>
          <w:p>
            <w:pPr>
              <w:spacing w:line="300" w:lineRule="exact"/>
              <w:jc w:val="left"/>
              <w:rPr>
                <w:rFonts w:hint="eastAsia" w:ascii="方正书宋_GBK" w:eastAsia="方正书宋_GBK" w:cs="Times New Roman"/>
                <w:b w:val="0"/>
                <w:bCs/>
                <w:lang w:eastAsia="zh-CN"/>
              </w:rPr>
            </w:pPr>
            <w:r>
              <w:rPr>
                <w:rFonts w:hint="eastAsia" w:ascii="方正书宋_GBK" w:eastAsia="方正书宋_GBK" w:cs="Times New Roman"/>
                <w:b w:val="0"/>
                <w:bCs/>
                <w:lang w:eastAsia="zh-CN"/>
              </w:rPr>
              <w:t>其他医疗设备</w:t>
            </w:r>
          </w:p>
        </w:tc>
        <w:tc>
          <w:tcPr>
            <w:tcW w:w="1531" w:type="dxa"/>
            <w:shd w:val="clear" w:color="auto" w:fill="auto"/>
            <w:vAlign w:val="center"/>
          </w:tcPr>
          <w:p>
            <w:pPr>
              <w:spacing w:line="300" w:lineRule="exact"/>
              <w:jc w:val="left"/>
              <w:rPr>
                <w:rFonts w:hint="default" w:ascii="方正书宋_GBK" w:eastAsia="方正书宋_GBK" w:cs="Times New Roman"/>
                <w:b w:val="0"/>
                <w:bCs/>
                <w:lang w:val="en-US" w:eastAsia="zh-CN"/>
              </w:rPr>
            </w:pPr>
            <w:r>
              <w:rPr>
                <w:rFonts w:hint="eastAsia" w:ascii="方正书宋_GBK" w:eastAsia="方正书宋_GBK" w:cs="Times New Roman"/>
                <w:b w:val="0"/>
                <w:bCs/>
                <w:lang w:val="en-US" w:eastAsia="zh-CN"/>
              </w:rPr>
              <w:t>A032099</w:t>
            </w:r>
          </w:p>
        </w:tc>
        <w:tc>
          <w:tcPr>
            <w:tcW w:w="709" w:type="dxa"/>
            <w:shd w:val="clear" w:color="auto" w:fill="auto"/>
            <w:vAlign w:val="center"/>
          </w:tcPr>
          <w:p>
            <w:pPr>
              <w:spacing w:line="300" w:lineRule="exact"/>
              <w:jc w:val="center"/>
              <w:rPr>
                <w:rFonts w:hint="eastAsia" w:ascii="方正书宋_GBK" w:eastAsia="方正书宋_GBK" w:cs="Times New Roman"/>
                <w:b w:val="0"/>
                <w:bCs/>
                <w:lang w:eastAsia="zh-CN"/>
              </w:rPr>
            </w:pPr>
            <w:r>
              <w:rPr>
                <w:rFonts w:hint="eastAsia" w:ascii="方正书宋_GBK" w:eastAsia="方正书宋_GBK" w:cs="Times New Roman"/>
                <w:b w:val="0"/>
                <w:bCs/>
                <w:lang w:eastAsia="zh-CN"/>
              </w:rPr>
              <w:t>台</w:t>
            </w:r>
          </w:p>
        </w:tc>
        <w:tc>
          <w:tcPr>
            <w:tcW w:w="907" w:type="dxa"/>
            <w:shd w:val="clear" w:color="auto" w:fill="auto"/>
            <w:vAlign w:val="center"/>
          </w:tcPr>
          <w:p>
            <w:pPr>
              <w:spacing w:line="300" w:lineRule="exact"/>
              <w:jc w:val="right"/>
              <w:rPr>
                <w:rFonts w:hint="eastAsia" w:ascii="方正书宋_GBK" w:eastAsia="方正书宋_GBK" w:cs="Times New Roman"/>
                <w:b w:val="0"/>
                <w:bCs/>
                <w:lang w:val="en-US" w:eastAsia="zh-CN"/>
              </w:rPr>
            </w:pPr>
            <w:r>
              <w:rPr>
                <w:rFonts w:hint="eastAsia" w:ascii="方正书宋_GBK" w:eastAsia="方正书宋_GBK" w:cs="Times New Roman"/>
                <w:b w:val="0"/>
                <w:bCs/>
                <w:lang w:val="en-US" w:eastAsia="zh-CN"/>
              </w:rPr>
              <w:t>1</w:t>
            </w:r>
          </w:p>
        </w:tc>
        <w:tc>
          <w:tcPr>
            <w:tcW w:w="907" w:type="dxa"/>
            <w:shd w:val="clear" w:color="auto" w:fill="auto"/>
            <w:vAlign w:val="center"/>
          </w:tcPr>
          <w:p>
            <w:pPr>
              <w:spacing w:line="300" w:lineRule="exact"/>
              <w:jc w:val="right"/>
              <w:rPr>
                <w:rFonts w:hint="default" w:ascii="方正书宋_GBK" w:eastAsia="方正书宋_GBK" w:cs="Times New Roman"/>
                <w:b w:val="0"/>
                <w:bCs/>
                <w:lang w:val="en-US" w:eastAsia="zh-CN"/>
              </w:rPr>
            </w:pPr>
            <w:r>
              <w:rPr>
                <w:rFonts w:hint="eastAsia" w:ascii="方正书宋_GBK" w:eastAsia="方正书宋_GBK" w:cs="Times New Roman"/>
                <w:b w:val="0"/>
                <w:bCs/>
                <w:lang w:val="en-US" w:eastAsia="zh-CN"/>
              </w:rPr>
              <w:t>6500</w:t>
            </w:r>
          </w:p>
        </w:tc>
        <w:tc>
          <w:tcPr>
            <w:tcW w:w="1134" w:type="dxa"/>
            <w:shd w:val="clear" w:color="auto" w:fill="auto"/>
            <w:vAlign w:val="center"/>
          </w:tcPr>
          <w:p>
            <w:pPr>
              <w:spacing w:line="300" w:lineRule="exact"/>
              <w:jc w:val="right"/>
              <w:rPr>
                <w:rFonts w:hint="default" w:ascii="方正书宋_GBK" w:hAnsi="Calibri" w:eastAsia="方正书宋_GBK" w:cs="Times New Roman"/>
                <w:b w:val="0"/>
                <w:bCs/>
                <w:kern w:val="2"/>
                <w:sz w:val="21"/>
                <w:szCs w:val="22"/>
                <w:lang w:val="en-US" w:eastAsia="zh-CN" w:bidi="ar-SA"/>
              </w:rPr>
            </w:pPr>
            <w:r>
              <w:rPr>
                <w:rFonts w:hint="eastAsia" w:ascii="方正书宋_GBK" w:eastAsia="方正书宋_GBK" w:cs="Times New Roman"/>
                <w:b w:val="0"/>
                <w:bCs/>
                <w:lang w:val="en-US" w:eastAsia="zh-CN"/>
              </w:rPr>
              <w:t>6500</w:t>
            </w:r>
          </w:p>
        </w:tc>
        <w:tc>
          <w:tcPr>
            <w:tcW w:w="1134" w:type="dxa"/>
            <w:shd w:val="clear" w:color="auto" w:fill="auto"/>
            <w:vAlign w:val="center"/>
          </w:tcPr>
          <w:p>
            <w:pPr>
              <w:spacing w:line="300" w:lineRule="exact"/>
              <w:jc w:val="right"/>
              <w:rPr>
                <w:rFonts w:hint="default" w:ascii="方正书宋_GBK" w:hAnsi="Calibri" w:eastAsia="方正书宋_GBK" w:cs="Times New Roman"/>
                <w:b w:val="0"/>
                <w:bCs/>
                <w:kern w:val="2"/>
                <w:sz w:val="21"/>
                <w:szCs w:val="22"/>
                <w:lang w:val="en-US" w:eastAsia="zh-CN" w:bidi="ar-SA"/>
              </w:rPr>
            </w:pPr>
          </w:p>
        </w:tc>
        <w:tc>
          <w:tcPr>
            <w:tcW w:w="1134" w:type="dxa"/>
            <w:shd w:val="clear" w:color="auto" w:fill="auto"/>
            <w:vAlign w:val="center"/>
          </w:tcPr>
          <w:p>
            <w:pPr>
              <w:spacing w:line="300" w:lineRule="exact"/>
              <w:jc w:val="right"/>
              <w:rPr>
                <w:rFonts w:ascii="方正书宋_GBK" w:eastAsia="方正书宋_GBK" w:cs="Times New Roman"/>
                <w:b w:val="0"/>
                <w:bCs/>
              </w:rPr>
            </w:pPr>
          </w:p>
        </w:tc>
        <w:tc>
          <w:tcPr>
            <w:tcW w:w="1134" w:type="dxa"/>
            <w:shd w:val="clear" w:color="auto" w:fill="auto"/>
            <w:vAlign w:val="center"/>
          </w:tcPr>
          <w:p>
            <w:pPr>
              <w:spacing w:line="300" w:lineRule="exact"/>
              <w:jc w:val="right"/>
              <w:rPr>
                <w:rFonts w:ascii="方正书宋_GBK" w:eastAsia="方正书宋_GBK" w:cs="Times New Roman"/>
                <w:b w:val="0"/>
                <w:bCs/>
              </w:rPr>
            </w:pPr>
          </w:p>
        </w:tc>
        <w:tc>
          <w:tcPr>
            <w:tcW w:w="1134" w:type="dxa"/>
            <w:shd w:val="clear" w:color="auto" w:fill="auto"/>
            <w:vAlign w:val="center"/>
          </w:tcPr>
          <w:p>
            <w:pPr>
              <w:spacing w:line="300" w:lineRule="exact"/>
              <w:jc w:val="right"/>
              <w:rPr>
                <w:rFonts w:ascii="方正书宋_GBK" w:eastAsia="方正书宋_GBK" w:cs="Times New Roman"/>
                <w:b w:val="0"/>
                <w:bCs/>
              </w:rPr>
            </w:pPr>
          </w:p>
        </w:tc>
        <w:tc>
          <w:tcPr>
            <w:tcW w:w="1134" w:type="dxa"/>
            <w:shd w:val="clear" w:color="auto" w:fill="auto"/>
            <w:vAlign w:val="center"/>
          </w:tcPr>
          <w:p>
            <w:pPr>
              <w:spacing w:line="300" w:lineRule="exact"/>
              <w:jc w:val="right"/>
              <w:rPr>
                <w:rFonts w:hint="default" w:ascii="方正书宋_GBK" w:eastAsia="方正书宋_GBK" w:cs="Times New Roman"/>
                <w:b w:val="0"/>
                <w:bCs/>
                <w:lang w:val="en-US" w:eastAsia="zh-CN"/>
              </w:rPr>
            </w:pPr>
            <w:r>
              <w:rPr>
                <w:rFonts w:hint="eastAsia" w:ascii="方正书宋_GBK" w:eastAsia="方正书宋_GBK" w:cs="Times New Roman"/>
                <w:b w:val="0"/>
                <w:bCs/>
                <w:lang w:val="en-US" w:eastAsia="zh-CN"/>
              </w:rPr>
              <w:t>6500</w:t>
            </w: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lang w:eastAsia="zh-CN"/>
        </w:rPr>
        <w:t>人民医院</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84250.85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7500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医疗专用设备、</w:t>
      </w:r>
      <w:r>
        <w:rPr>
          <w:rFonts w:ascii="Times New Roman" w:hAnsi="Times New Roman" w:eastAsia="仿宋_GB2312" w:cs="Times New Roman"/>
          <w:sz w:val="32"/>
          <w:szCs w:val="32"/>
        </w:rPr>
        <w:t>计算机设备、打印设备、空调、办公家具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廊坊市市直部门固定资产占用情况表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lang w:eastAsia="zh-CN"/>
              </w:rPr>
              <w:t>人民医院</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Layout w:type="fixed"/>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84250.85</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73373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26391</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2675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1241</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369.73</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433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43115.88</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22060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14374.24</w:t>
            </w:r>
          </w:p>
          <w:p>
            <w:pPr>
              <w:spacing w:line="584" w:lineRule="exact"/>
              <w:jc w:val="center"/>
              <w:rPr>
                <w:rFonts w:hint="default" w:ascii="Times New Roman" w:hAnsi="Times New Roman" w:eastAsia="仿宋_GB2312" w:cs="Times New Roman"/>
                <w:sz w:val="22"/>
                <w:lang w:val="en-US" w:eastAsia="zh-CN"/>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347CC"/>
    <w:rsid w:val="004A54AA"/>
    <w:rsid w:val="00B80935"/>
    <w:rsid w:val="00D347CC"/>
    <w:rsid w:val="02A1436E"/>
    <w:rsid w:val="094E766D"/>
    <w:rsid w:val="269042FD"/>
    <w:rsid w:val="37B22F8D"/>
    <w:rsid w:val="492D0823"/>
    <w:rsid w:val="4D3A40DE"/>
    <w:rsid w:val="58913485"/>
    <w:rsid w:val="5EC37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492</Words>
  <Characters>2808</Characters>
  <Lines>23</Lines>
  <Paragraphs>6</Paragraphs>
  <TotalTime>121</TotalTime>
  <ScaleCrop>false</ScaleCrop>
  <LinksUpToDate>false</LinksUpToDate>
  <CharactersWithSpaces>3294</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IloVeThisGame</cp:lastModifiedBy>
  <cp:lastPrinted>2018-01-30T06:12:00Z</cp:lastPrinted>
  <dcterms:modified xsi:type="dcterms:W3CDTF">2021-03-06T00:37:46Z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